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5F3D" w14:textId="77777777" w:rsidR="00E44232" w:rsidRDefault="00E44232" w:rsidP="00E44232">
      <w:pPr>
        <w:jc w:val="right"/>
        <w:rPr>
          <w:rFonts w:ascii="Arial" w:hAnsi="Arial" w:cs="Arial"/>
          <w:b/>
          <w:sz w:val="24"/>
          <w:szCs w:val="24"/>
        </w:rPr>
      </w:pPr>
      <w:r>
        <w:rPr>
          <w:rFonts w:ascii="Arial" w:hAnsi="Arial" w:cs="Arial"/>
          <w:b/>
          <w:noProof/>
          <w:sz w:val="28"/>
          <w:szCs w:val="28"/>
          <w:lang w:val="en-US" w:eastAsia="en-US"/>
        </w:rPr>
        <w:drawing>
          <wp:inline distT="0" distB="0" distL="0" distR="0" wp14:anchorId="685FD51E" wp14:editId="07450409">
            <wp:extent cx="1846087" cy="559151"/>
            <wp:effectExtent l="0" t="0" r="190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757" cy="571167"/>
                    </a:xfrm>
                    <a:prstGeom prst="rect">
                      <a:avLst/>
                    </a:prstGeom>
                    <a:noFill/>
                    <a:ln>
                      <a:noFill/>
                    </a:ln>
                  </pic:spPr>
                </pic:pic>
              </a:graphicData>
            </a:graphic>
          </wp:inline>
        </w:drawing>
      </w:r>
    </w:p>
    <w:p w14:paraId="2DF2534B" w14:textId="77777777" w:rsidR="00E44232" w:rsidRDefault="00E44232" w:rsidP="00E44232">
      <w:pPr>
        <w:jc w:val="both"/>
        <w:rPr>
          <w:rFonts w:ascii="Arial" w:hAnsi="Arial" w:cs="Arial"/>
          <w:b/>
          <w:sz w:val="24"/>
          <w:szCs w:val="24"/>
        </w:rPr>
      </w:pPr>
    </w:p>
    <w:p w14:paraId="44723D90" w14:textId="77777777" w:rsidR="00E44232" w:rsidRDefault="00E44232" w:rsidP="00E44232">
      <w:pPr>
        <w:jc w:val="both"/>
        <w:rPr>
          <w:rFonts w:ascii="Arial" w:hAnsi="Arial" w:cs="Arial"/>
          <w:b/>
          <w:sz w:val="24"/>
          <w:szCs w:val="24"/>
        </w:rPr>
      </w:pPr>
    </w:p>
    <w:p w14:paraId="6DB08491" w14:textId="77777777" w:rsidR="00AE05A0" w:rsidRDefault="00AE05A0" w:rsidP="00E44232">
      <w:pPr>
        <w:jc w:val="both"/>
        <w:rPr>
          <w:rFonts w:ascii="Arial" w:hAnsi="Arial" w:cs="Arial"/>
          <w:b/>
          <w:sz w:val="24"/>
          <w:szCs w:val="24"/>
        </w:rPr>
      </w:pPr>
    </w:p>
    <w:p w14:paraId="27DAA4EA" w14:textId="77777777" w:rsidR="00AE05A0" w:rsidRDefault="00AE05A0" w:rsidP="00E44232">
      <w:pPr>
        <w:jc w:val="both"/>
        <w:rPr>
          <w:rFonts w:ascii="Arial" w:hAnsi="Arial" w:cs="Arial"/>
          <w:b/>
          <w:sz w:val="24"/>
          <w:szCs w:val="24"/>
        </w:rPr>
      </w:pPr>
    </w:p>
    <w:p w14:paraId="09F570C4" w14:textId="77777777" w:rsidR="00AE05A0" w:rsidRDefault="00AE05A0" w:rsidP="00E44232">
      <w:pPr>
        <w:jc w:val="both"/>
        <w:rPr>
          <w:rFonts w:ascii="Arial" w:hAnsi="Arial" w:cs="Arial"/>
          <w:b/>
          <w:sz w:val="24"/>
          <w:szCs w:val="24"/>
        </w:rPr>
      </w:pPr>
    </w:p>
    <w:p w14:paraId="27F3B4D2" w14:textId="77777777" w:rsidR="00AE05A0" w:rsidRDefault="00AE05A0" w:rsidP="00E44232">
      <w:pPr>
        <w:jc w:val="both"/>
        <w:rPr>
          <w:rFonts w:ascii="Arial" w:hAnsi="Arial" w:cs="Arial"/>
          <w:b/>
          <w:sz w:val="24"/>
          <w:szCs w:val="24"/>
        </w:rPr>
      </w:pPr>
    </w:p>
    <w:p w14:paraId="4B6C96CF" w14:textId="77777777" w:rsidR="00AE05A0" w:rsidRDefault="00AE05A0" w:rsidP="00E44232">
      <w:pPr>
        <w:jc w:val="both"/>
        <w:rPr>
          <w:rFonts w:ascii="Arial" w:hAnsi="Arial" w:cs="Arial"/>
          <w:b/>
          <w:sz w:val="24"/>
          <w:szCs w:val="24"/>
        </w:rPr>
      </w:pPr>
    </w:p>
    <w:p w14:paraId="1FE257B8" w14:textId="77777777" w:rsidR="00E44232" w:rsidRPr="009B215B" w:rsidRDefault="00E44232" w:rsidP="0030232D">
      <w:pPr>
        <w:pStyle w:val="Title"/>
        <w:jc w:val="center"/>
        <w:rPr>
          <w:b/>
          <w:bCs/>
          <w:color w:val="538135" w:themeColor="accent6" w:themeShade="BF"/>
        </w:rPr>
      </w:pPr>
      <w:r w:rsidRPr="009B215B">
        <w:rPr>
          <w:b/>
          <w:bCs/>
          <w:color w:val="538135" w:themeColor="accent6" w:themeShade="BF"/>
        </w:rPr>
        <w:t>Responsibility Centered Management (RCM)</w:t>
      </w:r>
    </w:p>
    <w:p w14:paraId="494C037D" w14:textId="77777777" w:rsidR="00AE05A0" w:rsidRPr="009B215B" w:rsidRDefault="00AE05A0" w:rsidP="00E44232">
      <w:pPr>
        <w:jc w:val="center"/>
        <w:rPr>
          <w:rFonts w:ascii="Arial" w:hAnsi="Arial" w:cs="Arial"/>
          <w:b/>
          <w:bCs/>
          <w:color w:val="154734"/>
          <w:sz w:val="40"/>
          <w:szCs w:val="40"/>
        </w:rPr>
      </w:pPr>
    </w:p>
    <w:p w14:paraId="042E9D7E" w14:textId="42D3EAD0" w:rsidR="00AE05A0" w:rsidRPr="009B215B" w:rsidRDefault="00AE05A0" w:rsidP="0030232D">
      <w:pPr>
        <w:pStyle w:val="Title"/>
        <w:jc w:val="center"/>
        <w:rPr>
          <w:b/>
          <w:bCs/>
          <w:color w:val="1F4E79" w:themeColor="accent1" w:themeShade="80"/>
        </w:rPr>
      </w:pPr>
      <w:r w:rsidRPr="009B215B">
        <w:rPr>
          <w:b/>
          <w:bCs/>
          <w:color w:val="1F4E79" w:themeColor="accent1" w:themeShade="80"/>
        </w:rPr>
        <w:t>An Activity-Based Approach</w:t>
      </w:r>
    </w:p>
    <w:p w14:paraId="0B5C9E67" w14:textId="77777777" w:rsidR="00E44232" w:rsidRPr="009B215B" w:rsidRDefault="00AE05A0" w:rsidP="0030232D">
      <w:pPr>
        <w:pStyle w:val="Title"/>
        <w:jc w:val="center"/>
        <w:rPr>
          <w:b/>
          <w:bCs/>
          <w:color w:val="1F4E79" w:themeColor="accent1" w:themeShade="80"/>
        </w:rPr>
      </w:pPr>
      <w:r w:rsidRPr="009B215B">
        <w:rPr>
          <w:b/>
          <w:bCs/>
          <w:color w:val="1F4E79" w:themeColor="accent1" w:themeShade="80"/>
        </w:rPr>
        <w:t xml:space="preserve">to </w:t>
      </w:r>
      <w:r w:rsidR="00E44232" w:rsidRPr="009B215B">
        <w:rPr>
          <w:b/>
          <w:bCs/>
          <w:color w:val="1F4E79" w:themeColor="accent1" w:themeShade="80"/>
        </w:rPr>
        <w:t>Budget Planning</w:t>
      </w:r>
    </w:p>
    <w:p w14:paraId="7B358EA9" w14:textId="77777777" w:rsidR="00AE05A0" w:rsidRDefault="00AE05A0" w:rsidP="00E44232">
      <w:pPr>
        <w:pStyle w:val="NoSpacing"/>
        <w:jc w:val="center"/>
        <w:rPr>
          <w:rFonts w:ascii="Arial" w:hAnsi="Arial" w:cs="Arial"/>
          <w:b/>
        </w:rPr>
      </w:pPr>
    </w:p>
    <w:p w14:paraId="50AEE0E8" w14:textId="77777777" w:rsidR="00AE05A0" w:rsidRDefault="00AE05A0" w:rsidP="00E44232">
      <w:pPr>
        <w:pStyle w:val="NoSpacing"/>
        <w:jc w:val="center"/>
        <w:rPr>
          <w:rFonts w:ascii="Arial" w:hAnsi="Arial" w:cs="Arial"/>
          <w:b/>
        </w:rPr>
      </w:pPr>
    </w:p>
    <w:p w14:paraId="5FF6F354" w14:textId="77777777" w:rsidR="00AE05A0" w:rsidRDefault="00AE05A0" w:rsidP="00E44232">
      <w:pPr>
        <w:pStyle w:val="NoSpacing"/>
        <w:jc w:val="center"/>
        <w:rPr>
          <w:rFonts w:ascii="Arial" w:hAnsi="Arial" w:cs="Arial"/>
          <w:b/>
        </w:rPr>
      </w:pPr>
    </w:p>
    <w:p w14:paraId="1FE1CF8F" w14:textId="77777777" w:rsidR="00AE05A0" w:rsidRDefault="00AE05A0" w:rsidP="00E44232">
      <w:pPr>
        <w:pStyle w:val="NoSpacing"/>
        <w:jc w:val="center"/>
        <w:rPr>
          <w:rFonts w:ascii="Arial" w:hAnsi="Arial" w:cs="Arial"/>
          <w:b/>
        </w:rPr>
      </w:pPr>
    </w:p>
    <w:p w14:paraId="34E465F6" w14:textId="77777777" w:rsidR="00AE05A0" w:rsidRDefault="00AE05A0" w:rsidP="00E44232">
      <w:pPr>
        <w:pStyle w:val="NoSpacing"/>
        <w:jc w:val="center"/>
        <w:rPr>
          <w:rFonts w:ascii="Arial" w:hAnsi="Arial" w:cs="Arial"/>
          <w:b/>
        </w:rPr>
      </w:pPr>
    </w:p>
    <w:p w14:paraId="39284D02" w14:textId="77777777" w:rsidR="00AE05A0" w:rsidRDefault="00AE05A0" w:rsidP="00E44232">
      <w:pPr>
        <w:pStyle w:val="NoSpacing"/>
        <w:jc w:val="center"/>
        <w:rPr>
          <w:rFonts w:ascii="Arial" w:hAnsi="Arial" w:cs="Arial"/>
          <w:b/>
        </w:rPr>
      </w:pPr>
    </w:p>
    <w:p w14:paraId="5A1F19DF" w14:textId="77777777" w:rsidR="00AE05A0" w:rsidRDefault="00AE05A0" w:rsidP="00E44232">
      <w:pPr>
        <w:pStyle w:val="NoSpacing"/>
        <w:jc w:val="center"/>
        <w:rPr>
          <w:rFonts w:ascii="Arial" w:hAnsi="Arial" w:cs="Arial"/>
          <w:b/>
        </w:rPr>
      </w:pPr>
    </w:p>
    <w:p w14:paraId="7630592C" w14:textId="77777777" w:rsidR="00AE05A0" w:rsidRDefault="00AE05A0" w:rsidP="00E44232">
      <w:pPr>
        <w:pStyle w:val="NoSpacing"/>
        <w:jc w:val="center"/>
        <w:rPr>
          <w:rFonts w:ascii="Arial" w:hAnsi="Arial" w:cs="Arial"/>
          <w:b/>
        </w:rPr>
      </w:pPr>
    </w:p>
    <w:p w14:paraId="37D9F308" w14:textId="77777777" w:rsidR="00AE05A0" w:rsidRDefault="00AE05A0" w:rsidP="00E44232">
      <w:pPr>
        <w:pStyle w:val="NoSpacing"/>
        <w:jc w:val="center"/>
        <w:rPr>
          <w:rFonts w:ascii="Arial" w:hAnsi="Arial" w:cs="Arial"/>
          <w:b/>
        </w:rPr>
      </w:pPr>
    </w:p>
    <w:p w14:paraId="3F4D5219" w14:textId="77777777" w:rsidR="00AE05A0" w:rsidRDefault="00AE05A0" w:rsidP="00E44232">
      <w:pPr>
        <w:pStyle w:val="NoSpacing"/>
        <w:jc w:val="center"/>
        <w:rPr>
          <w:rFonts w:ascii="Arial" w:hAnsi="Arial" w:cs="Arial"/>
          <w:b/>
        </w:rPr>
      </w:pPr>
    </w:p>
    <w:p w14:paraId="14535AE8" w14:textId="77777777" w:rsidR="00AE05A0" w:rsidRDefault="00AE05A0" w:rsidP="00E44232">
      <w:pPr>
        <w:pStyle w:val="NoSpacing"/>
        <w:jc w:val="center"/>
        <w:rPr>
          <w:rFonts w:ascii="Arial" w:hAnsi="Arial" w:cs="Arial"/>
          <w:b/>
        </w:rPr>
      </w:pPr>
    </w:p>
    <w:p w14:paraId="5CD3373E" w14:textId="77777777" w:rsidR="00E44232" w:rsidRPr="009B215B" w:rsidRDefault="00CF7D45" w:rsidP="0030232D">
      <w:pPr>
        <w:pStyle w:val="Heading1"/>
        <w:jc w:val="center"/>
        <w:rPr>
          <w:b/>
          <w:bCs/>
        </w:rPr>
      </w:pPr>
      <w:r w:rsidRPr="009B215B">
        <w:rPr>
          <w:b/>
          <w:bCs/>
        </w:rPr>
        <w:t>October</w:t>
      </w:r>
      <w:r w:rsidR="00E44232" w:rsidRPr="009B215B">
        <w:rPr>
          <w:b/>
          <w:bCs/>
        </w:rPr>
        <w:t xml:space="preserve"> 2018</w:t>
      </w:r>
    </w:p>
    <w:p w14:paraId="2DFB31DF" w14:textId="77777777" w:rsidR="00E44232" w:rsidRDefault="00E44232" w:rsidP="00E44232">
      <w:pPr>
        <w:pStyle w:val="NoSpacing"/>
        <w:jc w:val="center"/>
        <w:rPr>
          <w:rFonts w:ascii="Arial" w:hAnsi="Arial" w:cs="Arial"/>
          <w:b/>
        </w:rPr>
      </w:pPr>
    </w:p>
    <w:p w14:paraId="18B50484" w14:textId="77777777" w:rsidR="00E44232" w:rsidRDefault="00E44232" w:rsidP="00E44232">
      <w:pPr>
        <w:pStyle w:val="NoSpacing"/>
        <w:jc w:val="center"/>
        <w:rPr>
          <w:rFonts w:ascii="Arial" w:hAnsi="Arial" w:cs="Arial"/>
          <w:b/>
        </w:rPr>
      </w:pPr>
    </w:p>
    <w:p w14:paraId="737B00E2" w14:textId="77777777" w:rsidR="00E44232" w:rsidRDefault="00E44232" w:rsidP="00E44232">
      <w:pPr>
        <w:pStyle w:val="NoSpacing"/>
        <w:jc w:val="both"/>
        <w:rPr>
          <w:rFonts w:ascii="Arial" w:hAnsi="Arial" w:cs="Arial"/>
          <w:b/>
        </w:rPr>
      </w:pPr>
      <w:r>
        <w:rPr>
          <w:rFonts w:ascii="Arial" w:hAnsi="Arial" w:cs="Arial"/>
          <w:b/>
        </w:rPr>
        <w:br w:type="page"/>
      </w:r>
    </w:p>
    <w:p w14:paraId="50DDE280" w14:textId="77777777" w:rsidR="00AE05A0" w:rsidRPr="009B215B" w:rsidRDefault="00AE05A0" w:rsidP="0030232D">
      <w:pPr>
        <w:pStyle w:val="Heading1"/>
        <w:rPr>
          <w:b/>
          <w:bCs/>
        </w:rPr>
      </w:pPr>
      <w:r w:rsidRPr="009B215B">
        <w:rPr>
          <w:b/>
          <w:bCs/>
        </w:rPr>
        <w:lastRenderedPageBreak/>
        <w:t>INTRODUCTION</w:t>
      </w:r>
    </w:p>
    <w:p w14:paraId="6B4720D7" w14:textId="77777777" w:rsidR="00E44232" w:rsidRDefault="00E44232" w:rsidP="0030232D">
      <w:r w:rsidRPr="007056A9">
        <w:t>In 2014/2015, Trent University introduced a new approach to budget planning called Responsibility Centered Management</w:t>
      </w:r>
      <w:r w:rsidR="007056A9">
        <w:t xml:space="preserve"> (RCM).</w:t>
      </w:r>
      <w:r w:rsidR="007056A9" w:rsidRPr="007056A9">
        <w:t xml:space="preserve"> </w:t>
      </w:r>
      <w:r w:rsidR="007056A9">
        <w:t xml:space="preserve">  RCM is an activity-based model intended to promote stronger linkages to academic goals and priorities.  The </w:t>
      </w:r>
      <w:r w:rsidR="007056A9" w:rsidRPr="00C00C49">
        <w:t>aim of RCM is to improve financial sustainability by emphasizing the University’s strengths in teaching, research and services and by supporting selected</w:t>
      </w:r>
      <w:r w:rsidR="007056A9">
        <w:t xml:space="preserve"> opportunities and innovations.  </w:t>
      </w:r>
    </w:p>
    <w:p w14:paraId="22C3B7DE" w14:textId="77777777" w:rsidR="007056A9" w:rsidRDefault="007056A9" w:rsidP="0030232D">
      <w:r>
        <w:t>The RCM approach to budgeting was first proposed in the Trent Academic Plan 2012 (</w:t>
      </w:r>
      <w:r w:rsidRPr="007056A9">
        <w:rPr>
          <w:i/>
        </w:rPr>
        <w:t>Radical Recovery:  An Academic Plan for Trent University</w:t>
      </w:r>
      <w:r>
        <w:t>, Recommendation #48)</w:t>
      </w:r>
      <w:r w:rsidR="00C10F59">
        <w:t xml:space="preserve">.  Following </w:t>
      </w:r>
      <w:r w:rsidR="00496E29">
        <w:t xml:space="preserve">multiple </w:t>
      </w:r>
      <w:r w:rsidR="00C10F59">
        <w:t>discussions</w:t>
      </w:r>
      <w:r w:rsidR="00496E29">
        <w:t xml:space="preserve"> with key stakeholders (including faculty, staff and senior administration who are directly involved in the annual budget planning process)</w:t>
      </w:r>
      <w:r w:rsidR="00C10F59">
        <w:t xml:space="preserve">, the Board of Governors approved the implementation of an RCM approach to budget </w:t>
      </w:r>
      <w:r w:rsidR="00F60355">
        <w:t>that achieves the following objectives:</w:t>
      </w:r>
    </w:p>
    <w:p w14:paraId="49717885" w14:textId="47564658" w:rsidR="00C10F59" w:rsidRDefault="00F60355" w:rsidP="0030232D">
      <w:pPr>
        <w:pStyle w:val="ListParagraph"/>
        <w:numPr>
          <w:ilvl w:val="0"/>
          <w:numId w:val="18"/>
        </w:numPr>
      </w:pPr>
      <w:r w:rsidRPr="0030232D">
        <w:rPr>
          <w:b/>
          <w:color w:val="154734"/>
        </w:rPr>
        <w:t>Transparency</w:t>
      </w:r>
      <w:r>
        <w:t xml:space="preserve">:  To create a budget system that is </w:t>
      </w:r>
      <w:r w:rsidRPr="00F60355">
        <w:t xml:space="preserve">transparent, </w:t>
      </w:r>
      <w:r>
        <w:t>with a</w:t>
      </w:r>
      <w:r w:rsidR="00C10F59">
        <w:t xml:space="preserve"> mechanism to track the University’s revenues and expenditures in a way that </w:t>
      </w:r>
      <w:r>
        <w:t xml:space="preserve">makes it clear </w:t>
      </w:r>
      <w:r w:rsidR="00C10F59">
        <w:t xml:space="preserve">how and where revenue is </w:t>
      </w:r>
      <w:r w:rsidR="0030232D">
        <w:t>generated,</w:t>
      </w:r>
      <w:r w:rsidR="00C10F59">
        <w:t xml:space="preserve"> and costs are </w:t>
      </w:r>
      <w:r w:rsidR="001B40EE">
        <w:t>incurred.</w:t>
      </w:r>
    </w:p>
    <w:p w14:paraId="21295AFD" w14:textId="463A3F29" w:rsidR="00C10F59" w:rsidRDefault="00F60355" w:rsidP="0030232D">
      <w:pPr>
        <w:pStyle w:val="ListParagraph"/>
        <w:numPr>
          <w:ilvl w:val="0"/>
          <w:numId w:val="18"/>
        </w:numPr>
      </w:pPr>
      <w:r w:rsidRPr="0030232D">
        <w:rPr>
          <w:b/>
          <w:color w:val="154734"/>
        </w:rPr>
        <w:t>Fairness</w:t>
      </w:r>
      <w:r w:rsidR="00B85AFD" w:rsidRPr="0030232D">
        <w:rPr>
          <w:b/>
          <w:color w:val="154734"/>
        </w:rPr>
        <w:t xml:space="preserve"> and Efficiency</w:t>
      </w:r>
      <w:r w:rsidRPr="002A77F2">
        <w:t xml:space="preserve">: </w:t>
      </w:r>
      <w:r>
        <w:t xml:space="preserve"> To distribute the University’s resources in a way that fairly recognizes the needs of growing programs by </w:t>
      </w:r>
      <w:r w:rsidR="00C10F59">
        <w:t>promot</w:t>
      </w:r>
      <w:r>
        <w:t>ing</w:t>
      </w:r>
      <w:r w:rsidR="00C10F59">
        <w:t xml:space="preserve"> revenue growth and support</w:t>
      </w:r>
      <w:r w:rsidR="002A77F2">
        <w:t>ing</w:t>
      </w:r>
      <w:r w:rsidR="00C10F59">
        <w:t xml:space="preserve"> efficiencies that reduce </w:t>
      </w:r>
      <w:r w:rsidR="0030232D">
        <w:t>costs.</w:t>
      </w:r>
      <w:r w:rsidR="00C10F59">
        <w:t xml:space="preserve"> </w:t>
      </w:r>
    </w:p>
    <w:p w14:paraId="4A945920" w14:textId="77777777" w:rsidR="00100BC3" w:rsidRDefault="00B85AFD" w:rsidP="0030232D">
      <w:pPr>
        <w:pStyle w:val="ListParagraph"/>
        <w:numPr>
          <w:ilvl w:val="0"/>
          <w:numId w:val="18"/>
        </w:numPr>
      </w:pPr>
      <w:r w:rsidRPr="0030232D">
        <w:rPr>
          <w:b/>
          <w:color w:val="154734"/>
        </w:rPr>
        <w:t xml:space="preserve">Financial </w:t>
      </w:r>
      <w:r w:rsidR="002A77F2" w:rsidRPr="0030232D">
        <w:rPr>
          <w:b/>
          <w:color w:val="154734"/>
        </w:rPr>
        <w:t>Sustainability</w:t>
      </w:r>
      <w:r w:rsidR="002A77F2">
        <w:t>:  To create a system of incentives that rewards those units whose activities and initiatives make significant contributions to a sustainable budget</w:t>
      </w:r>
      <w:r w:rsidR="00100BC3">
        <w:t>; and</w:t>
      </w:r>
    </w:p>
    <w:p w14:paraId="382C09D3" w14:textId="77777777" w:rsidR="00C10F59" w:rsidRDefault="00B85AFD" w:rsidP="0030232D">
      <w:pPr>
        <w:pStyle w:val="ListParagraph"/>
        <w:numPr>
          <w:ilvl w:val="0"/>
          <w:numId w:val="18"/>
        </w:numPr>
      </w:pPr>
      <w:r w:rsidRPr="0030232D">
        <w:rPr>
          <w:b/>
          <w:color w:val="154734"/>
        </w:rPr>
        <w:t>Growth and Flexibility</w:t>
      </w:r>
      <w:r w:rsidR="00100BC3">
        <w:t>:  To build a</w:t>
      </w:r>
      <w:r w:rsidR="0080590D">
        <w:t xml:space="preserve"> University</w:t>
      </w:r>
      <w:r w:rsidR="00C10F59">
        <w:t xml:space="preserve"> </w:t>
      </w:r>
      <w:r w:rsidR="0080590D">
        <w:t>F</w:t>
      </w:r>
      <w:r w:rsidR="00C10F59">
        <w:t xml:space="preserve">und for academic program and operational initiatives that support </w:t>
      </w:r>
      <w:r>
        <w:t xml:space="preserve">growth in student enrolment and </w:t>
      </w:r>
      <w:r w:rsidR="00C10F59">
        <w:t xml:space="preserve">the strategic goals of </w:t>
      </w:r>
      <w:r w:rsidR="0080590D">
        <w:t>Trent</w:t>
      </w:r>
      <w:r w:rsidR="00C10F59">
        <w:t>.</w:t>
      </w:r>
    </w:p>
    <w:p w14:paraId="0C81BE65" w14:textId="77777777" w:rsidR="00AE05A0" w:rsidRDefault="00F628F7" w:rsidP="0030232D">
      <w:r>
        <w:t xml:space="preserve">While still preparing the operating budget under an incremental base budget approach, commencing with the 2017/2018 budget the University began using the RCM model as a guiding principle for decision making when prioritizing and recommending strategic investments.  </w:t>
      </w:r>
      <w:r w:rsidR="00D76C59" w:rsidRPr="008D02F5">
        <w:t xml:space="preserve">RCM will be implemented gradually over the next </w:t>
      </w:r>
      <w:r w:rsidR="00D76C59">
        <w:t>few</w:t>
      </w:r>
      <w:r w:rsidR="00D76C59" w:rsidRPr="008D02F5">
        <w:t xml:space="preserve"> years in a way that is sensitive to </w:t>
      </w:r>
      <w:r w:rsidR="00D76C59">
        <w:t xml:space="preserve">Trent’s </w:t>
      </w:r>
      <w:r w:rsidR="00D76C59" w:rsidRPr="008D02F5">
        <w:t xml:space="preserve">fiscal realities and the complexities that arise as the University attempts to achieve a sustainable budget </w:t>
      </w:r>
      <w:r w:rsidR="001D2499">
        <w:t>for</w:t>
      </w:r>
      <w:r w:rsidR="00D76C59" w:rsidRPr="008D02F5">
        <w:t xml:space="preserve"> the long term.</w:t>
      </w:r>
      <w:r w:rsidR="00D76C59">
        <w:rPr>
          <w:rFonts w:ascii="Tahoma" w:hAnsi="Tahoma" w:cs="Tahoma"/>
          <w:sz w:val="17"/>
          <w:szCs w:val="17"/>
        </w:rPr>
        <w:t xml:space="preserve"> </w:t>
      </w:r>
      <w:r w:rsidR="00D76C59">
        <w:t xml:space="preserve">  </w:t>
      </w:r>
      <w:r w:rsidR="00ED735D">
        <w:t xml:space="preserve">RCM will change resource distribution over time rather than creating large scale impacts all at once.  </w:t>
      </w:r>
      <w:r w:rsidR="007056A9" w:rsidRPr="00C00C49">
        <w:t>Administrative and support functions will be assessed against available University benchmarks</w:t>
      </w:r>
      <w:r w:rsidR="007056A9">
        <w:t xml:space="preserve"> and adjusted accordingly</w:t>
      </w:r>
      <w:r w:rsidR="007056A9" w:rsidRPr="00C00C49">
        <w:t>.</w:t>
      </w:r>
      <w:r w:rsidR="007056A9">
        <w:t xml:space="preserve"> </w:t>
      </w:r>
      <w:r w:rsidR="007056A9" w:rsidRPr="00C00C49">
        <w:t xml:space="preserve"> An important feature will be the availability of some incentive funding to help in the development of new programs and revenue opportunities.</w:t>
      </w:r>
      <w:r w:rsidR="00AE05A0">
        <w:t xml:space="preserve">  Budget adjustments due to RCM will ensure that the budget evolves in a way that makes </w:t>
      </w:r>
      <w:r w:rsidR="0080590D">
        <w:t>the University’s</w:t>
      </w:r>
      <w:r w:rsidR="00AE05A0">
        <w:t xml:space="preserve"> operations more fiscally sustainable</w:t>
      </w:r>
      <w:r w:rsidR="0080590D">
        <w:t xml:space="preserve"> while respecting its contractual obligations.</w:t>
      </w:r>
      <w:r w:rsidR="00496E29">
        <w:t xml:space="preserve">  </w:t>
      </w:r>
    </w:p>
    <w:p w14:paraId="6871DAE4" w14:textId="77777777" w:rsidR="00AE05A0" w:rsidRDefault="00AE05A0" w:rsidP="0030232D">
      <w:r w:rsidRPr="00AE05A0">
        <w:t>The following</w:t>
      </w:r>
      <w:r>
        <w:t xml:space="preserve"> provides an overview of RCM and the way it works, explaining the opportunities and benefits of RCM for the University and its various operational units.</w:t>
      </w:r>
    </w:p>
    <w:p w14:paraId="72E7517D" w14:textId="77777777" w:rsidR="00EE0375" w:rsidRPr="009B215B" w:rsidRDefault="00EE0375" w:rsidP="0030232D">
      <w:pPr>
        <w:pStyle w:val="Heading1"/>
        <w:rPr>
          <w:b/>
          <w:bCs/>
          <w:color w:val="385623" w:themeColor="accent6" w:themeShade="80"/>
        </w:rPr>
      </w:pPr>
      <w:r w:rsidRPr="009B215B">
        <w:rPr>
          <w:b/>
          <w:bCs/>
          <w:color w:val="385623" w:themeColor="accent6" w:themeShade="80"/>
        </w:rPr>
        <w:lastRenderedPageBreak/>
        <w:t>THE RCM MODEL</w:t>
      </w:r>
    </w:p>
    <w:p w14:paraId="2F2E217F" w14:textId="77777777" w:rsidR="00E945A8" w:rsidRPr="009B215B" w:rsidRDefault="00E945A8" w:rsidP="0030232D">
      <w:pPr>
        <w:pStyle w:val="Heading2"/>
        <w:rPr>
          <w:b/>
          <w:bCs/>
        </w:rPr>
      </w:pPr>
      <w:r w:rsidRPr="009B215B">
        <w:rPr>
          <w:b/>
          <w:bCs/>
        </w:rPr>
        <w:t>The Operating Budget</w:t>
      </w:r>
    </w:p>
    <w:p w14:paraId="17C7CCFF" w14:textId="77777777" w:rsidR="00E945A8" w:rsidRDefault="00E945A8" w:rsidP="0030232D">
      <w:r w:rsidRPr="00E945A8">
        <w:t xml:space="preserve">The University’s budget </w:t>
      </w:r>
      <w:proofErr w:type="gramStart"/>
      <w:r w:rsidRPr="00E945A8">
        <w:t>is a reflection of</w:t>
      </w:r>
      <w:proofErr w:type="gramEnd"/>
      <w:r w:rsidRPr="00E945A8">
        <w:t xml:space="preserve"> the revenues and expenditures generated by its activities.  </w:t>
      </w:r>
      <w:r w:rsidR="006B1799">
        <w:t>Historically, Trent uses an incremental budget approach whereby new strategic investments are added to the prior year’s budget to form the current year’s base budget.</w:t>
      </w:r>
    </w:p>
    <w:p w14:paraId="67100D87" w14:textId="77777777" w:rsidR="00E945A8" w:rsidRDefault="007A06D0" w:rsidP="0030232D">
      <w:r w:rsidRPr="00E945A8">
        <w:rPr>
          <w:noProof/>
          <w:lang w:val="en-US" w:eastAsia="en-US"/>
        </w:rPr>
        <w:drawing>
          <wp:anchor distT="0" distB="0" distL="114300" distR="114300" simplePos="0" relativeHeight="251659264" behindDoc="1" locked="0" layoutInCell="1" allowOverlap="1" wp14:anchorId="255DF2CB" wp14:editId="7DB883D0">
            <wp:simplePos x="0" y="0"/>
            <wp:positionH relativeFrom="margin">
              <wp:posOffset>3399790</wp:posOffset>
            </wp:positionH>
            <wp:positionV relativeFrom="paragraph">
              <wp:posOffset>10795</wp:posOffset>
            </wp:positionV>
            <wp:extent cx="2538095" cy="2317115"/>
            <wp:effectExtent l="0" t="0" r="0" b="6985"/>
            <wp:wrapTight wrapText="bothSides">
              <wp:wrapPolygon edited="0">
                <wp:start x="0" y="0"/>
                <wp:lineTo x="0" y="21488"/>
                <wp:lineTo x="21400" y="21488"/>
                <wp:lineTo x="21400" y="0"/>
                <wp:lineTo x="0" y="0"/>
              </wp:wrapPolygon>
            </wp:wrapTight>
            <wp:docPr id="4"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E945A8" w:rsidRPr="00E945A8">
        <w:t xml:space="preserve">On the revenue side, the </w:t>
      </w:r>
      <w:proofErr w:type="gramStart"/>
      <w:r w:rsidR="00E945A8" w:rsidRPr="00E945A8">
        <w:t>principle</w:t>
      </w:r>
      <w:proofErr w:type="gramEnd"/>
      <w:r w:rsidR="00E945A8" w:rsidRPr="00E945A8">
        <w:t xml:space="preserve"> determinant of the size of Trent’s budget is undergraduate enrolment and the revenue it produces from tuition</w:t>
      </w:r>
      <w:r w:rsidR="00E945A8">
        <w:t xml:space="preserve"> fees</w:t>
      </w:r>
      <w:r w:rsidR="00E945A8" w:rsidRPr="00E945A8">
        <w:t xml:space="preserve"> and government grants.  Other revenues are generated from ancillary services, research</w:t>
      </w:r>
      <w:r w:rsidR="006B1799">
        <w:t xml:space="preserve"> support and overhead</w:t>
      </w:r>
      <w:r w:rsidR="00E945A8" w:rsidRPr="00E945A8">
        <w:t xml:space="preserve"> grants, partnerships and commercialization, fundraising, endowments and graduate student enrolment.  While these latter operations are important contributors to the budget each year, their impact is small in comparison with that made by undergraduate enrolment</w:t>
      </w:r>
      <w:r w:rsidR="00E945A8">
        <w:t>.</w:t>
      </w:r>
    </w:p>
    <w:p w14:paraId="6DE3EB67" w14:textId="77777777" w:rsidR="00E945A8" w:rsidRDefault="00E945A8" w:rsidP="0030232D">
      <w:r w:rsidRPr="00E945A8">
        <w:t>The primary pressures on operating revenue arise from the government’s decisions to allocate university budgets through the funding formula and tuition fee framework, and to student enrolment.</w:t>
      </w:r>
    </w:p>
    <w:p w14:paraId="5BCAB5D1" w14:textId="77777777" w:rsidR="0004517E" w:rsidRDefault="0062669A" w:rsidP="0030232D">
      <w:r w:rsidRPr="00E945A8">
        <w:rPr>
          <w:noProof/>
          <w:lang w:val="en-US" w:eastAsia="en-US"/>
        </w:rPr>
        <w:drawing>
          <wp:anchor distT="0" distB="0" distL="114300" distR="114300" simplePos="0" relativeHeight="251660288" behindDoc="1" locked="0" layoutInCell="1" allowOverlap="1" wp14:anchorId="2663E0B8" wp14:editId="2AA5CBC2">
            <wp:simplePos x="0" y="0"/>
            <wp:positionH relativeFrom="margin">
              <wp:align>right</wp:align>
            </wp:positionH>
            <wp:positionV relativeFrom="paragraph">
              <wp:posOffset>10795</wp:posOffset>
            </wp:positionV>
            <wp:extent cx="2574290" cy="2219325"/>
            <wp:effectExtent l="0" t="0" r="0" b="0"/>
            <wp:wrapTight wrapText="bothSides">
              <wp:wrapPolygon edited="0">
                <wp:start x="0" y="0"/>
                <wp:lineTo x="0" y="21322"/>
                <wp:lineTo x="21419" y="21322"/>
                <wp:lineTo x="21419" y="0"/>
                <wp:lineTo x="0" y="0"/>
              </wp:wrapPolygon>
            </wp:wrapTight>
            <wp:docPr id="5" name="Char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E945A8" w:rsidRPr="00E945A8">
        <w:t xml:space="preserve">The University’s </w:t>
      </w:r>
      <w:r w:rsidR="00813A71">
        <w:t>main</w:t>
      </w:r>
      <w:r w:rsidR="00E945A8" w:rsidRPr="00E945A8">
        <w:t xml:space="preserve"> expenses are salaries and benefits that </w:t>
      </w:r>
      <w:r w:rsidR="00E945A8">
        <w:t>ac</w:t>
      </w:r>
      <w:r w:rsidR="00E945A8" w:rsidRPr="00E945A8">
        <w:t>count for approximately 80% of current expenditures.  Student financial aid and scholarship expense is a highly variable</w:t>
      </w:r>
      <w:r w:rsidR="00813A71">
        <w:t xml:space="preserve"> cost</w:t>
      </w:r>
      <w:r w:rsidR="00E945A8" w:rsidRPr="00E945A8">
        <w:t xml:space="preserve"> dependent primarily on student enrolment.   Other key expenses are tied to maintenance and enhancement of physical infrastructure,</w:t>
      </w:r>
      <w:r w:rsidR="00813A71" w:rsidRPr="00813A71">
        <w:t xml:space="preserve"> </w:t>
      </w:r>
      <w:r w:rsidR="00813A71">
        <w:t xml:space="preserve">research activities, information technology, student services, </w:t>
      </w:r>
      <w:r w:rsidR="00E945A8" w:rsidRPr="00E945A8">
        <w:t>human resources, and administrative functions</w:t>
      </w:r>
      <w:r w:rsidR="007A06D0">
        <w:t xml:space="preserve"> such as policy development, program approval, and quality assurance</w:t>
      </w:r>
      <w:r w:rsidR="00E945A8" w:rsidRPr="00E945A8">
        <w:t>.</w:t>
      </w:r>
    </w:p>
    <w:p w14:paraId="0AAE063E" w14:textId="77777777" w:rsidR="00E945A8" w:rsidRDefault="00E945A8" w:rsidP="0030232D">
      <w:r w:rsidRPr="00E945A8">
        <w:t>The University must manage the key pressures on operating expenses related to payments needed to cover pension shortfalls, student financial aid requirements, in part prescribed by the government, and inflationary factors.</w:t>
      </w:r>
    </w:p>
    <w:p w14:paraId="513240E7" w14:textId="77777777" w:rsidR="00532E5E" w:rsidRDefault="00E945A8" w:rsidP="0030232D">
      <w:r w:rsidRPr="00E945A8">
        <w:t>For more detailed information on the University’s operating budget, please see the 2018/2019 Operating Budget Report:</w:t>
      </w:r>
    </w:p>
    <w:p w14:paraId="0FF0C998" w14:textId="77777777" w:rsidR="00E945A8" w:rsidRPr="0004517E" w:rsidRDefault="001B40EE" w:rsidP="007A06D0">
      <w:pPr>
        <w:spacing w:after="240" w:line="240" w:lineRule="auto"/>
        <w:jc w:val="both"/>
        <w:rPr>
          <w:rStyle w:val="Hyperlink"/>
          <w:rFonts w:ascii="Arial" w:hAnsi="Arial" w:cs="Arial"/>
          <w:color w:val="auto"/>
          <w:sz w:val="19"/>
          <w:szCs w:val="19"/>
        </w:rPr>
      </w:pPr>
      <w:hyperlink r:id="rId11" w:history="1">
        <w:r w:rsidR="00E945A8" w:rsidRPr="0004517E">
          <w:rPr>
            <w:rStyle w:val="Hyperlink"/>
            <w:rFonts w:ascii="Arial" w:hAnsi="Arial" w:cs="Arial"/>
            <w:color w:val="auto"/>
            <w:sz w:val="19"/>
            <w:szCs w:val="19"/>
          </w:rPr>
          <w:t>https://www.trentu.ca/financialservices/sites/trentu.ca.financialservices/files/documents/2018-19_Budget.pdf</w:t>
        </w:r>
      </w:hyperlink>
    </w:p>
    <w:p w14:paraId="2372805F" w14:textId="77777777" w:rsidR="0062669A" w:rsidRDefault="0062669A" w:rsidP="007A06D0">
      <w:pPr>
        <w:spacing w:after="240" w:line="240" w:lineRule="auto"/>
        <w:jc w:val="both"/>
        <w:rPr>
          <w:rFonts w:ascii="Arial" w:hAnsi="Arial" w:cs="Arial"/>
          <w:b/>
          <w:color w:val="5B7F95"/>
          <w:sz w:val="24"/>
          <w:szCs w:val="24"/>
        </w:rPr>
      </w:pPr>
      <w:r>
        <w:rPr>
          <w:rFonts w:ascii="Arial" w:hAnsi="Arial" w:cs="Arial"/>
          <w:b/>
          <w:color w:val="5B7F95"/>
          <w:sz w:val="24"/>
          <w:szCs w:val="24"/>
        </w:rPr>
        <w:br w:type="page"/>
      </w:r>
    </w:p>
    <w:p w14:paraId="7AB3802B" w14:textId="77777777" w:rsidR="00E945A8" w:rsidRPr="009B215B" w:rsidRDefault="00E945A8" w:rsidP="0030232D">
      <w:pPr>
        <w:pStyle w:val="Heading2"/>
        <w:rPr>
          <w:b/>
          <w:bCs/>
        </w:rPr>
      </w:pPr>
      <w:r w:rsidRPr="009B215B">
        <w:rPr>
          <w:b/>
          <w:bCs/>
        </w:rPr>
        <w:lastRenderedPageBreak/>
        <w:t>The RCM Concept</w:t>
      </w:r>
    </w:p>
    <w:p w14:paraId="5348F2A6" w14:textId="77777777" w:rsidR="00C952D8" w:rsidRDefault="006B1799" w:rsidP="0030232D">
      <w:r>
        <w:t>Trent is currently shifting from the incremental budget approach to an activity-based model, RCM</w:t>
      </w:r>
      <w:r w:rsidR="004504AD">
        <w:t>, for its academic divisions</w:t>
      </w:r>
      <w:r>
        <w:t xml:space="preserve">.  </w:t>
      </w:r>
      <w:r w:rsidR="00C952D8">
        <w:t>Under the RCM framework, academic divisions have a responsibility to generate revenue in a way that supports the operating and infrastructure costs of their operations and contributes revenue to a strategic fund for the University.</w:t>
      </w:r>
    </w:p>
    <w:p w14:paraId="30919C0D" w14:textId="77777777" w:rsidR="00C952D8" w:rsidRDefault="006F1C8B" w:rsidP="0030232D">
      <w:r w:rsidRPr="00655E4C">
        <w:rPr>
          <w:b/>
          <w:noProof/>
          <w:color w:val="154734"/>
          <w:sz w:val="32"/>
          <w:szCs w:val="32"/>
        </w:rPr>
        <mc:AlternateContent>
          <mc:Choice Requires="wps">
            <w:drawing>
              <wp:anchor distT="45720" distB="45720" distL="114300" distR="114300" simplePos="0" relativeHeight="251662336" behindDoc="1" locked="0" layoutInCell="1" allowOverlap="1" wp14:anchorId="75819718" wp14:editId="40086026">
                <wp:simplePos x="0" y="0"/>
                <wp:positionH relativeFrom="margin">
                  <wp:align>right</wp:align>
                </wp:positionH>
                <wp:positionV relativeFrom="paragraph">
                  <wp:posOffset>53340</wp:posOffset>
                </wp:positionV>
                <wp:extent cx="2519680" cy="4114800"/>
                <wp:effectExtent l="0" t="0" r="13970" b="19050"/>
                <wp:wrapTight wrapText="bothSides">
                  <wp:wrapPolygon edited="0">
                    <wp:start x="0" y="0"/>
                    <wp:lineTo x="0" y="21600"/>
                    <wp:lineTo x="21556" y="21600"/>
                    <wp:lineTo x="21556"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4114800"/>
                        </a:xfrm>
                        <a:prstGeom prst="rect">
                          <a:avLst/>
                        </a:prstGeom>
                        <a:solidFill>
                          <a:srgbClr val="FFFFFF"/>
                        </a:solidFill>
                        <a:ln w="9525">
                          <a:solidFill>
                            <a:srgbClr val="000000"/>
                          </a:solidFill>
                          <a:miter lim="800000"/>
                          <a:headEnd/>
                          <a:tailEnd/>
                        </a:ln>
                      </wps:spPr>
                      <wps:txbx>
                        <w:txbxContent>
                          <w:p w14:paraId="22954EB6" w14:textId="77777777" w:rsidR="004504AD" w:rsidRDefault="004504AD" w:rsidP="003F2A6B">
                            <w:pPr>
                              <w:spacing w:after="0"/>
                              <w:jc w:val="center"/>
                              <w:rPr>
                                <w:rFonts w:ascii="Arial" w:hAnsi="Arial" w:cs="Arial"/>
                                <w:b/>
                                <w:sz w:val="24"/>
                                <w:szCs w:val="24"/>
                              </w:rPr>
                            </w:pPr>
                          </w:p>
                          <w:p w14:paraId="54F96E16" w14:textId="77777777" w:rsidR="006F1C8B" w:rsidRDefault="006F1C8B" w:rsidP="003F2A6B">
                            <w:pPr>
                              <w:spacing w:after="0"/>
                              <w:jc w:val="center"/>
                              <w:rPr>
                                <w:rFonts w:ascii="Arial" w:hAnsi="Arial" w:cs="Arial"/>
                                <w:b/>
                                <w:sz w:val="24"/>
                                <w:szCs w:val="24"/>
                              </w:rPr>
                            </w:pPr>
                          </w:p>
                          <w:p w14:paraId="00013742"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Revenue</w:t>
                            </w:r>
                          </w:p>
                          <w:p w14:paraId="49B19CB8" w14:textId="77777777" w:rsidR="004504AD" w:rsidRDefault="004504AD" w:rsidP="003F2A6B">
                            <w:pPr>
                              <w:spacing w:after="0"/>
                              <w:jc w:val="center"/>
                              <w:rPr>
                                <w:rFonts w:ascii="Arial" w:hAnsi="Arial" w:cs="Arial"/>
                                <w:b/>
                                <w:sz w:val="24"/>
                                <w:szCs w:val="24"/>
                              </w:rPr>
                            </w:pPr>
                          </w:p>
                          <w:p w14:paraId="3DD60C19" w14:textId="77777777" w:rsidR="004504AD" w:rsidRDefault="004504AD" w:rsidP="003F2A6B">
                            <w:pPr>
                              <w:spacing w:after="0"/>
                              <w:jc w:val="center"/>
                              <w:rPr>
                                <w:rFonts w:ascii="Arial" w:hAnsi="Arial" w:cs="Arial"/>
                                <w:b/>
                                <w:sz w:val="24"/>
                                <w:szCs w:val="24"/>
                              </w:rPr>
                            </w:pPr>
                          </w:p>
                          <w:p w14:paraId="579AE6D5"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Contribution to University Fund</w:t>
                            </w:r>
                          </w:p>
                          <w:p w14:paraId="6C966BB8" w14:textId="77777777" w:rsidR="004504AD" w:rsidRDefault="004504AD" w:rsidP="003F2A6B">
                            <w:pPr>
                              <w:spacing w:after="0"/>
                              <w:jc w:val="center"/>
                              <w:rPr>
                                <w:rFonts w:ascii="Arial" w:hAnsi="Arial" w:cs="Arial"/>
                                <w:b/>
                                <w:sz w:val="24"/>
                                <w:szCs w:val="24"/>
                              </w:rPr>
                            </w:pPr>
                          </w:p>
                          <w:p w14:paraId="61AF52B9" w14:textId="77777777" w:rsidR="004504AD" w:rsidRPr="00655E4C" w:rsidRDefault="004504AD" w:rsidP="003F2A6B">
                            <w:pPr>
                              <w:spacing w:after="0"/>
                              <w:jc w:val="center"/>
                              <w:rPr>
                                <w:rFonts w:ascii="Arial" w:hAnsi="Arial" w:cs="Arial"/>
                                <w:b/>
                                <w:sz w:val="24"/>
                                <w:szCs w:val="24"/>
                              </w:rPr>
                            </w:pPr>
                          </w:p>
                          <w:p w14:paraId="1E057E2B"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Share of University-wide Costs</w:t>
                            </w:r>
                          </w:p>
                          <w:p w14:paraId="53C5EDDE" w14:textId="77777777" w:rsidR="004504AD" w:rsidRPr="00655E4C" w:rsidRDefault="004504AD" w:rsidP="003F2A6B">
                            <w:pPr>
                              <w:spacing w:after="0"/>
                              <w:jc w:val="center"/>
                              <w:rPr>
                                <w:rFonts w:ascii="Arial" w:hAnsi="Arial" w:cs="Arial"/>
                                <w:b/>
                                <w:sz w:val="24"/>
                                <w:szCs w:val="24"/>
                              </w:rPr>
                            </w:pPr>
                          </w:p>
                          <w:p w14:paraId="6B434AF7" w14:textId="77777777" w:rsidR="004504AD" w:rsidRDefault="004504AD" w:rsidP="003F2A6B">
                            <w:pPr>
                              <w:spacing w:after="0"/>
                              <w:jc w:val="center"/>
                              <w:rPr>
                                <w:rFonts w:ascii="Arial" w:hAnsi="Arial" w:cs="Arial"/>
                                <w:b/>
                                <w:sz w:val="24"/>
                                <w:szCs w:val="24"/>
                              </w:rPr>
                            </w:pPr>
                          </w:p>
                          <w:p w14:paraId="0F9FE676"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Net Revenue</w:t>
                            </w:r>
                          </w:p>
                          <w:p w14:paraId="0458F2BF" w14:textId="77777777" w:rsidR="004504AD" w:rsidRPr="00655E4C" w:rsidRDefault="004504AD" w:rsidP="003F2A6B">
                            <w:pPr>
                              <w:spacing w:after="0"/>
                              <w:jc w:val="center"/>
                              <w:rPr>
                                <w:rFonts w:ascii="Arial" w:hAnsi="Arial" w:cs="Arial"/>
                                <w:b/>
                                <w:sz w:val="24"/>
                                <w:szCs w:val="24"/>
                              </w:rPr>
                            </w:pPr>
                          </w:p>
                          <w:p w14:paraId="63652D80" w14:textId="77777777" w:rsidR="004504AD" w:rsidRDefault="004504AD" w:rsidP="003F2A6B">
                            <w:pPr>
                              <w:spacing w:after="0"/>
                              <w:jc w:val="center"/>
                              <w:rPr>
                                <w:rFonts w:ascii="Arial" w:hAnsi="Arial" w:cs="Arial"/>
                                <w:b/>
                                <w:sz w:val="24"/>
                                <w:szCs w:val="24"/>
                              </w:rPr>
                            </w:pPr>
                          </w:p>
                          <w:p w14:paraId="3B8F7678" w14:textId="77777777" w:rsidR="004504AD" w:rsidRPr="00655E4C" w:rsidRDefault="004504AD" w:rsidP="003F2A6B">
                            <w:pPr>
                              <w:spacing w:after="0"/>
                              <w:jc w:val="center"/>
                              <w:rPr>
                                <w:rFonts w:ascii="Arial" w:hAnsi="Arial" w:cs="Arial"/>
                                <w:b/>
                                <w:sz w:val="24"/>
                                <w:szCs w:val="24"/>
                              </w:rPr>
                            </w:pPr>
                            <w:r w:rsidRPr="00655E4C">
                              <w:rPr>
                                <w:rFonts w:ascii="Arial" w:hAnsi="Arial" w:cs="Arial"/>
                                <w:b/>
                                <w:sz w:val="24"/>
                                <w:szCs w:val="24"/>
                              </w:rPr>
                              <w:t>University Fund Allocation</w:t>
                            </w:r>
                          </w:p>
                          <w:p w14:paraId="09C0B3D0" w14:textId="77777777" w:rsidR="004504AD" w:rsidRDefault="004504AD" w:rsidP="003F2A6B">
                            <w:pPr>
                              <w:spacing w:after="0"/>
                              <w:jc w:val="center"/>
                              <w:rPr>
                                <w:rFonts w:ascii="Arial" w:hAnsi="Arial" w:cs="Arial"/>
                                <w:b/>
                                <w:sz w:val="24"/>
                                <w:szCs w:val="24"/>
                              </w:rPr>
                            </w:pPr>
                          </w:p>
                          <w:p w14:paraId="40BEDA5A" w14:textId="77777777" w:rsidR="004504AD" w:rsidRDefault="004504AD" w:rsidP="003F2A6B">
                            <w:pPr>
                              <w:spacing w:after="0"/>
                              <w:jc w:val="center"/>
                              <w:rPr>
                                <w:rFonts w:ascii="Arial" w:hAnsi="Arial" w:cs="Arial"/>
                                <w:b/>
                                <w:sz w:val="24"/>
                                <w:szCs w:val="24"/>
                              </w:rPr>
                            </w:pPr>
                          </w:p>
                          <w:p w14:paraId="74CB737A" w14:textId="77777777" w:rsidR="004504AD" w:rsidRPr="00655E4C" w:rsidRDefault="004504AD" w:rsidP="003F2A6B">
                            <w:pPr>
                              <w:spacing w:after="0"/>
                              <w:jc w:val="center"/>
                              <w:rPr>
                                <w:rFonts w:ascii="Arial" w:hAnsi="Arial" w:cs="Arial"/>
                                <w:b/>
                                <w:sz w:val="24"/>
                                <w:szCs w:val="24"/>
                              </w:rPr>
                            </w:pPr>
                            <w:r w:rsidRPr="00655E4C">
                              <w:rPr>
                                <w:rFonts w:ascii="Arial" w:hAnsi="Arial" w:cs="Arial"/>
                                <w:b/>
                                <w:sz w:val="24"/>
                                <w:szCs w:val="24"/>
                              </w:rPr>
                              <w:t>Academic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19718" id="_x0000_t202" coordsize="21600,21600" o:spt="202" path="m,l,21600r21600,l21600,xe">
                <v:stroke joinstyle="miter"/>
                <v:path gradientshapeok="t" o:connecttype="rect"/>
              </v:shapetype>
              <v:shape id="Text Box 2" o:spid="_x0000_s1026" type="#_x0000_t202" alt="&quot;&quot;" style="position:absolute;margin-left:147.2pt;margin-top:4.2pt;width:198.4pt;height:324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">
                <v:textbox>
                  <w:txbxContent>
                    <w:p w14:paraId="22954EB6" w14:textId="77777777" w:rsidR="004504AD" w:rsidRDefault="004504AD" w:rsidP="003F2A6B">
                      <w:pPr>
                        <w:spacing w:after="0"/>
                        <w:jc w:val="center"/>
                        <w:rPr>
                          <w:rFonts w:ascii="Arial" w:hAnsi="Arial" w:cs="Arial"/>
                          <w:b/>
                          <w:sz w:val="24"/>
                          <w:szCs w:val="24"/>
                        </w:rPr>
                      </w:pPr>
                    </w:p>
                    <w:p w14:paraId="54F96E16" w14:textId="77777777" w:rsidR="006F1C8B" w:rsidRDefault="006F1C8B" w:rsidP="003F2A6B">
                      <w:pPr>
                        <w:spacing w:after="0"/>
                        <w:jc w:val="center"/>
                        <w:rPr>
                          <w:rFonts w:ascii="Arial" w:hAnsi="Arial" w:cs="Arial"/>
                          <w:b/>
                          <w:sz w:val="24"/>
                          <w:szCs w:val="24"/>
                        </w:rPr>
                      </w:pPr>
                    </w:p>
                    <w:p w14:paraId="00013742"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Revenue</w:t>
                      </w:r>
                    </w:p>
                    <w:p w14:paraId="49B19CB8" w14:textId="77777777" w:rsidR="004504AD" w:rsidRDefault="004504AD" w:rsidP="003F2A6B">
                      <w:pPr>
                        <w:spacing w:after="0"/>
                        <w:jc w:val="center"/>
                        <w:rPr>
                          <w:rFonts w:ascii="Arial" w:hAnsi="Arial" w:cs="Arial"/>
                          <w:b/>
                          <w:sz w:val="24"/>
                          <w:szCs w:val="24"/>
                        </w:rPr>
                      </w:pPr>
                    </w:p>
                    <w:p w14:paraId="3DD60C19" w14:textId="77777777" w:rsidR="004504AD" w:rsidRDefault="004504AD" w:rsidP="003F2A6B">
                      <w:pPr>
                        <w:spacing w:after="0"/>
                        <w:jc w:val="center"/>
                        <w:rPr>
                          <w:rFonts w:ascii="Arial" w:hAnsi="Arial" w:cs="Arial"/>
                          <w:b/>
                          <w:sz w:val="24"/>
                          <w:szCs w:val="24"/>
                        </w:rPr>
                      </w:pPr>
                    </w:p>
                    <w:p w14:paraId="579AE6D5"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Contribution to University Fund</w:t>
                      </w:r>
                    </w:p>
                    <w:p w14:paraId="6C966BB8" w14:textId="77777777" w:rsidR="004504AD" w:rsidRDefault="004504AD" w:rsidP="003F2A6B">
                      <w:pPr>
                        <w:spacing w:after="0"/>
                        <w:jc w:val="center"/>
                        <w:rPr>
                          <w:rFonts w:ascii="Arial" w:hAnsi="Arial" w:cs="Arial"/>
                          <w:b/>
                          <w:sz w:val="24"/>
                          <w:szCs w:val="24"/>
                        </w:rPr>
                      </w:pPr>
                    </w:p>
                    <w:p w14:paraId="61AF52B9" w14:textId="77777777" w:rsidR="004504AD" w:rsidRPr="00655E4C" w:rsidRDefault="004504AD" w:rsidP="003F2A6B">
                      <w:pPr>
                        <w:spacing w:after="0"/>
                        <w:jc w:val="center"/>
                        <w:rPr>
                          <w:rFonts w:ascii="Arial" w:hAnsi="Arial" w:cs="Arial"/>
                          <w:b/>
                          <w:sz w:val="24"/>
                          <w:szCs w:val="24"/>
                        </w:rPr>
                      </w:pPr>
                    </w:p>
                    <w:p w14:paraId="1E057E2B"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Share of University-wide Costs</w:t>
                      </w:r>
                    </w:p>
                    <w:p w14:paraId="53C5EDDE" w14:textId="77777777" w:rsidR="004504AD" w:rsidRPr="00655E4C" w:rsidRDefault="004504AD" w:rsidP="003F2A6B">
                      <w:pPr>
                        <w:spacing w:after="0"/>
                        <w:jc w:val="center"/>
                        <w:rPr>
                          <w:rFonts w:ascii="Arial" w:hAnsi="Arial" w:cs="Arial"/>
                          <w:b/>
                          <w:sz w:val="24"/>
                          <w:szCs w:val="24"/>
                        </w:rPr>
                      </w:pPr>
                    </w:p>
                    <w:p w14:paraId="6B434AF7" w14:textId="77777777" w:rsidR="004504AD" w:rsidRDefault="004504AD" w:rsidP="003F2A6B">
                      <w:pPr>
                        <w:spacing w:after="0"/>
                        <w:jc w:val="center"/>
                        <w:rPr>
                          <w:rFonts w:ascii="Arial" w:hAnsi="Arial" w:cs="Arial"/>
                          <w:b/>
                          <w:sz w:val="24"/>
                          <w:szCs w:val="24"/>
                        </w:rPr>
                      </w:pPr>
                    </w:p>
                    <w:p w14:paraId="0F9FE676" w14:textId="77777777" w:rsidR="004504AD" w:rsidRDefault="004504AD" w:rsidP="003F2A6B">
                      <w:pPr>
                        <w:spacing w:after="0"/>
                        <w:jc w:val="center"/>
                        <w:rPr>
                          <w:rFonts w:ascii="Arial" w:hAnsi="Arial" w:cs="Arial"/>
                          <w:b/>
                          <w:sz w:val="24"/>
                          <w:szCs w:val="24"/>
                        </w:rPr>
                      </w:pPr>
                      <w:r w:rsidRPr="00655E4C">
                        <w:rPr>
                          <w:rFonts w:ascii="Arial" w:hAnsi="Arial" w:cs="Arial"/>
                          <w:b/>
                          <w:sz w:val="24"/>
                          <w:szCs w:val="24"/>
                        </w:rPr>
                        <w:t>Net Revenue</w:t>
                      </w:r>
                    </w:p>
                    <w:p w14:paraId="0458F2BF" w14:textId="77777777" w:rsidR="004504AD" w:rsidRPr="00655E4C" w:rsidRDefault="004504AD" w:rsidP="003F2A6B">
                      <w:pPr>
                        <w:spacing w:after="0"/>
                        <w:jc w:val="center"/>
                        <w:rPr>
                          <w:rFonts w:ascii="Arial" w:hAnsi="Arial" w:cs="Arial"/>
                          <w:b/>
                          <w:sz w:val="24"/>
                          <w:szCs w:val="24"/>
                        </w:rPr>
                      </w:pPr>
                    </w:p>
                    <w:p w14:paraId="63652D80" w14:textId="77777777" w:rsidR="004504AD" w:rsidRDefault="004504AD" w:rsidP="003F2A6B">
                      <w:pPr>
                        <w:spacing w:after="0"/>
                        <w:jc w:val="center"/>
                        <w:rPr>
                          <w:rFonts w:ascii="Arial" w:hAnsi="Arial" w:cs="Arial"/>
                          <w:b/>
                          <w:sz w:val="24"/>
                          <w:szCs w:val="24"/>
                        </w:rPr>
                      </w:pPr>
                    </w:p>
                    <w:p w14:paraId="3B8F7678" w14:textId="77777777" w:rsidR="004504AD" w:rsidRPr="00655E4C" w:rsidRDefault="004504AD" w:rsidP="003F2A6B">
                      <w:pPr>
                        <w:spacing w:after="0"/>
                        <w:jc w:val="center"/>
                        <w:rPr>
                          <w:rFonts w:ascii="Arial" w:hAnsi="Arial" w:cs="Arial"/>
                          <w:b/>
                          <w:sz w:val="24"/>
                          <w:szCs w:val="24"/>
                        </w:rPr>
                      </w:pPr>
                      <w:r w:rsidRPr="00655E4C">
                        <w:rPr>
                          <w:rFonts w:ascii="Arial" w:hAnsi="Arial" w:cs="Arial"/>
                          <w:b/>
                          <w:sz w:val="24"/>
                          <w:szCs w:val="24"/>
                        </w:rPr>
                        <w:t>University Fund Allocation</w:t>
                      </w:r>
                    </w:p>
                    <w:p w14:paraId="09C0B3D0" w14:textId="77777777" w:rsidR="004504AD" w:rsidRDefault="004504AD" w:rsidP="003F2A6B">
                      <w:pPr>
                        <w:spacing w:after="0"/>
                        <w:jc w:val="center"/>
                        <w:rPr>
                          <w:rFonts w:ascii="Arial" w:hAnsi="Arial" w:cs="Arial"/>
                          <w:b/>
                          <w:sz w:val="24"/>
                          <w:szCs w:val="24"/>
                        </w:rPr>
                      </w:pPr>
                    </w:p>
                    <w:p w14:paraId="40BEDA5A" w14:textId="77777777" w:rsidR="004504AD" w:rsidRDefault="004504AD" w:rsidP="003F2A6B">
                      <w:pPr>
                        <w:spacing w:after="0"/>
                        <w:jc w:val="center"/>
                        <w:rPr>
                          <w:rFonts w:ascii="Arial" w:hAnsi="Arial" w:cs="Arial"/>
                          <w:b/>
                          <w:sz w:val="24"/>
                          <w:szCs w:val="24"/>
                        </w:rPr>
                      </w:pPr>
                    </w:p>
                    <w:p w14:paraId="74CB737A" w14:textId="77777777" w:rsidR="004504AD" w:rsidRPr="00655E4C" w:rsidRDefault="004504AD" w:rsidP="003F2A6B">
                      <w:pPr>
                        <w:spacing w:after="0"/>
                        <w:jc w:val="center"/>
                        <w:rPr>
                          <w:rFonts w:ascii="Arial" w:hAnsi="Arial" w:cs="Arial"/>
                          <w:b/>
                          <w:sz w:val="24"/>
                          <w:szCs w:val="24"/>
                        </w:rPr>
                      </w:pPr>
                      <w:r w:rsidRPr="00655E4C">
                        <w:rPr>
                          <w:rFonts w:ascii="Arial" w:hAnsi="Arial" w:cs="Arial"/>
                          <w:b/>
                          <w:sz w:val="24"/>
                          <w:szCs w:val="24"/>
                        </w:rPr>
                        <w:t>Academic Budget</w:t>
                      </w:r>
                    </w:p>
                  </w:txbxContent>
                </v:textbox>
                <w10:wrap type="tight" anchorx="margin"/>
              </v:shape>
            </w:pict>
          </mc:Fallback>
        </mc:AlternateContent>
      </w:r>
      <w:r>
        <w:rPr>
          <w:b/>
          <w:noProof/>
          <w:color w:val="154734"/>
          <w:sz w:val="32"/>
          <w:szCs w:val="32"/>
        </w:rPr>
        <mc:AlternateContent>
          <mc:Choice Requires="wps">
            <w:drawing>
              <wp:anchor distT="0" distB="0" distL="114300" distR="114300" simplePos="0" relativeHeight="251666432" behindDoc="0" locked="0" layoutInCell="1" allowOverlap="1" wp14:anchorId="7D7B0811" wp14:editId="35869B6F">
                <wp:simplePos x="0" y="0"/>
                <wp:positionH relativeFrom="column">
                  <wp:posOffset>4451350</wp:posOffset>
                </wp:positionH>
                <wp:positionV relativeFrom="paragraph">
                  <wp:posOffset>3155950</wp:posOffset>
                </wp:positionV>
                <wp:extent cx="386123" cy="291400"/>
                <wp:effectExtent l="0" t="0" r="0" b="0"/>
                <wp:wrapNone/>
                <wp:docPr id="12" name="Equ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6123" cy="291400"/>
                        </a:xfrm>
                        <a:prstGeom prst="mathEqual">
                          <a:avLst/>
                        </a:prstGeom>
                        <a:solidFill>
                          <a:srgbClr val="154734"/>
                        </a:solidFill>
                        <a:ln>
                          <a:solidFill>
                            <a:srgbClr val="154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E0889" id="Equal 12" o:spid="_x0000_s1026" alt="&quot;&quot;" style="position:absolute;margin-left:350.5pt;margin-top:248.5pt;width:30.4pt;height:2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6123,29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" path="m51181,60028r283761,l334942,128566r-283761,l51181,60028xm51181,162834r283761,l334942,231372r-283761,l51181,162834xe" fillcolor="#154734" strokecolor="#154734" strokeweight="1pt">
                <v:stroke joinstyle="miter"/>
                <v:path arrowok="t" o:connecttype="custom" o:connectlocs="51181,60028;334942,60028;334942,128566;51181,128566;51181,60028;51181,162834;334942,162834;334942,231372;51181,231372;51181,162834" o:connectangles="0,0,0,0,0,0,0,0,0,0"/>
              </v:shape>
            </w:pict>
          </mc:Fallback>
        </mc:AlternateContent>
      </w:r>
      <w:r>
        <w:rPr>
          <w:b/>
          <w:noProof/>
          <w:color w:val="154734"/>
          <w:sz w:val="32"/>
          <w:szCs w:val="32"/>
        </w:rPr>
        <mc:AlternateContent>
          <mc:Choice Requires="wps">
            <w:drawing>
              <wp:anchor distT="0" distB="0" distL="114300" distR="114300" simplePos="0" relativeHeight="251663360" behindDoc="0" locked="0" layoutInCell="1" allowOverlap="1" wp14:anchorId="0FC5ADAD" wp14:editId="0805AF85">
                <wp:simplePos x="0" y="0"/>
                <wp:positionH relativeFrom="column">
                  <wp:posOffset>4507865</wp:posOffset>
                </wp:positionH>
                <wp:positionV relativeFrom="paragraph">
                  <wp:posOffset>2557145</wp:posOffset>
                </wp:positionV>
                <wp:extent cx="268013" cy="346842"/>
                <wp:effectExtent l="0" t="0" r="0" b="0"/>
                <wp:wrapNone/>
                <wp:docPr id="7" name="Plu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8013" cy="346842"/>
                        </a:xfrm>
                        <a:prstGeom prst="mathPlus">
                          <a:avLst/>
                        </a:prstGeom>
                        <a:solidFill>
                          <a:srgbClr val="154734"/>
                        </a:solidFill>
                        <a:ln>
                          <a:solidFill>
                            <a:srgbClr val="154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8E95" id="Plus 7" o:spid="_x0000_s1026" alt="&quot;&quot;" style="position:absolute;margin-left:354.95pt;margin-top:201.35pt;width:21.1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8013,34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" path="m35525,141903r66963,l102488,45974r63037,l165525,141903r66963,l232488,204939r-66963,l165525,300868r-63037,l102488,204939r-66963,l35525,141903xe" fillcolor="#154734" strokecolor="#154734" strokeweight="1pt">
                <v:stroke joinstyle="miter"/>
                <v:path arrowok="t" o:connecttype="custom" o:connectlocs="35525,141903;102488,141903;102488,45974;165525,45974;165525,141903;232488,141903;232488,204939;165525,204939;165525,300868;102488,300868;102488,204939;35525,204939;35525,141903" o:connectangles="0,0,0,0,0,0,0,0,0,0,0,0,0"/>
              </v:shape>
            </w:pict>
          </mc:Fallback>
        </mc:AlternateContent>
      </w:r>
      <w:r>
        <w:rPr>
          <w:b/>
          <w:noProof/>
          <w:color w:val="154734"/>
          <w:sz w:val="32"/>
          <w:szCs w:val="32"/>
        </w:rPr>
        <mc:AlternateContent>
          <mc:Choice Requires="wps">
            <w:drawing>
              <wp:anchor distT="0" distB="0" distL="114300" distR="114300" simplePos="0" relativeHeight="251664384" behindDoc="0" locked="0" layoutInCell="1" allowOverlap="1" wp14:anchorId="1CA3963D" wp14:editId="5D2B2BA6">
                <wp:simplePos x="0" y="0"/>
                <wp:positionH relativeFrom="column">
                  <wp:posOffset>4461510</wp:posOffset>
                </wp:positionH>
                <wp:positionV relativeFrom="paragraph">
                  <wp:posOffset>1967230</wp:posOffset>
                </wp:positionV>
                <wp:extent cx="378372" cy="323193"/>
                <wp:effectExtent l="0" t="0" r="0" b="0"/>
                <wp:wrapNone/>
                <wp:docPr id="8" name="Equa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372" cy="323193"/>
                        </a:xfrm>
                        <a:prstGeom prst="mathEqual">
                          <a:avLst/>
                        </a:prstGeom>
                        <a:solidFill>
                          <a:srgbClr val="154734"/>
                        </a:solidFill>
                        <a:ln>
                          <a:solidFill>
                            <a:srgbClr val="154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5F9B" id="Equal 8" o:spid="_x0000_s1026" alt="&quot;&quot;" style="position:absolute;margin-left:351.3pt;margin-top:154.9pt;width:29.8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372,32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" path="m50153,66578r278066,l328219,142593r-278066,l50153,66578xm50153,180600r278066,l328219,256615r-278066,l50153,180600xe" fillcolor="#154734" strokecolor="#154734" strokeweight="1pt">
                <v:stroke joinstyle="miter"/>
                <v:path arrowok="t" o:connecttype="custom" o:connectlocs="50153,66578;328219,66578;328219,142593;50153,142593;50153,66578;50153,180600;328219,180600;328219,256615;50153,256615;50153,180600" o:connectangles="0,0,0,0,0,0,0,0,0,0"/>
              </v:shape>
            </w:pict>
          </mc:Fallback>
        </mc:AlternateContent>
      </w:r>
      <w:r>
        <w:rPr>
          <w:b/>
          <w:noProof/>
          <w:color w:val="154734"/>
          <w:sz w:val="32"/>
          <w:szCs w:val="32"/>
        </w:rPr>
        <mc:AlternateContent>
          <mc:Choice Requires="wps">
            <w:drawing>
              <wp:anchor distT="0" distB="0" distL="114300" distR="114300" simplePos="0" relativeHeight="251667456" behindDoc="0" locked="0" layoutInCell="1" allowOverlap="1" wp14:anchorId="5BB46551" wp14:editId="5C367132">
                <wp:simplePos x="0" y="0"/>
                <wp:positionH relativeFrom="column">
                  <wp:posOffset>4476750</wp:posOffset>
                </wp:positionH>
                <wp:positionV relativeFrom="paragraph">
                  <wp:posOffset>1340485</wp:posOffset>
                </wp:positionV>
                <wp:extent cx="354439" cy="338871"/>
                <wp:effectExtent l="0" t="0" r="0" b="0"/>
                <wp:wrapNone/>
                <wp:docPr id="13" name="Minu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439" cy="338871"/>
                        </a:xfrm>
                        <a:prstGeom prst="mathMinus">
                          <a:avLst/>
                        </a:prstGeom>
                        <a:solidFill>
                          <a:srgbClr val="154734"/>
                        </a:solidFill>
                        <a:ln>
                          <a:solidFill>
                            <a:srgbClr val="154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E9B9D" id="Minus 13" o:spid="_x0000_s1026" alt="&quot;&quot;" style="position:absolute;margin-left:352.5pt;margin-top:105.55pt;width:27.9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439,33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" path="m46981,129584r260477,l307458,209287r-260477,l46981,129584xe" fillcolor="#154734" strokecolor="#154734" strokeweight="1pt">
                <v:stroke joinstyle="miter"/>
                <v:path arrowok="t" o:connecttype="custom" o:connectlocs="46981,129584;307458,129584;307458,209287;46981,209287;46981,129584" o:connectangles="0,0,0,0,0"/>
              </v:shape>
            </w:pict>
          </mc:Fallback>
        </mc:AlternateContent>
      </w:r>
      <w:r>
        <w:rPr>
          <w:b/>
          <w:noProof/>
          <w:color w:val="154734"/>
          <w:sz w:val="32"/>
          <w:szCs w:val="32"/>
        </w:rPr>
        <mc:AlternateContent>
          <mc:Choice Requires="wps">
            <w:drawing>
              <wp:anchor distT="0" distB="0" distL="114300" distR="114300" simplePos="0" relativeHeight="251665408" behindDoc="0" locked="0" layoutInCell="1" allowOverlap="1" wp14:anchorId="35CD1745" wp14:editId="2FA1689A">
                <wp:simplePos x="0" y="0"/>
                <wp:positionH relativeFrom="column">
                  <wp:posOffset>4482465</wp:posOffset>
                </wp:positionH>
                <wp:positionV relativeFrom="paragraph">
                  <wp:posOffset>660400</wp:posOffset>
                </wp:positionV>
                <wp:extent cx="354177" cy="346842"/>
                <wp:effectExtent l="0" t="0" r="0" b="0"/>
                <wp:wrapNone/>
                <wp:docPr id="10" name="Minu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177" cy="346842"/>
                        </a:xfrm>
                        <a:prstGeom prst="mathMinus">
                          <a:avLst/>
                        </a:prstGeom>
                        <a:solidFill>
                          <a:srgbClr val="154734"/>
                        </a:solidFill>
                        <a:ln>
                          <a:solidFill>
                            <a:srgbClr val="154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F032" id="Minus 10" o:spid="_x0000_s1026" alt="&quot;&quot;" style="position:absolute;margin-left:352.95pt;margin-top:52pt;width:27.9pt;height: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177,34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" path="m46946,132632r260285,l307231,214210r-260285,l46946,132632xe" fillcolor="#154734" strokecolor="#154734" strokeweight="1pt">
                <v:stroke joinstyle="miter"/>
                <v:path arrowok="t" o:connecttype="custom" o:connectlocs="46946,132632;307231,132632;307231,214210;46946,214210;46946,132632" o:connectangles="0,0,0,0,0"/>
              </v:shape>
            </w:pict>
          </mc:Fallback>
        </mc:AlternateContent>
      </w:r>
      <w:r w:rsidR="00E44232" w:rsidRPr="00B85AFD">
        <w:t xml:space="preserve">The </w:t>
      </w:r>
      <w:r w:rsidR="005D6290" w:rsidRPr="00B85AFD">
        <w:t xml:space="preserve">general concept of the </w:t>
      </w:r>
      <w:r w:rsidR="00EE0375" w:rsidRPr="00B85AFD">
        <w:t>RCM</w:t>
      </w:r>
      <w:r w:rsidR="00E44232" w:rsidRPr="00B85AFD">
        <w:t xml:space="preserve"> model </w:t>
      </w:r>
      <w:r w:rsidR="005D6290" w:rsidRPr="00B85AFD">
        <w:t xml:space="preserve">is that operating fund </w:t>
      </w:r>
      <w:r w:rsidR="00E44232" w:rsidRPr="00B85AFD">
        <w:t xml:space="preserve">revenues </w:t>
      </w:r>
      <w:r w:rsidR="005D6290" w:rsidRPr="00B85AFD">
        <w:t xml:space="preserve">are attributed </w:t>
      </w:r>
      <w:r w:rsidR="00E44232" w:rsidRPr="00B85AFD">
        <w:t xml:space="preserve">to the </w:t>
      </w:r>
      <w:r w:rsidR="005D6290" w:rsidRPr="00B85AFD">
        <w:t>academic divisions</w:t>
      </w:r>
      <w:r w:rsidR="00E44232" w:rsidRPr="00B85AFD">
        <w:t xml:space="preserve"> that generate them, primarily through tuition and operating grants largely determined by </w:t>
      </w:r>
      <w:r w:rsidR="005D6290" w:rsidRPr="00B85AFD">
        <w:t xml:space="preserve">student </w:t>
      </w:r>
      <w:r w:rsidR="00E44232" w:rsidRPr="00B85AFD">
        <w:t xml:space="preserve">enrolment.  </w:t>
      </w:r>
      <w:r w:rsidR="005D5012">
        <w:t xml:space="preserve">Each academic unit </w:t>
      </w:r>
      <w:r w:rsidR="005D5012" w:rsidRPr="00B85AFD">
        <w:t>contributes to a University Fund for institutional strategic priorities</w:t>
      </w:r>
      <w:r w:rsidR="00174EF7">
        <w:t>.</w:t>
      </w:r>
      <w:r w:rsidR="005D5012" w:rsidRPr="00B85AFD">
        <w:t xml:space="preserve"> </w:t>
      </w:r>
      <w:r w:rsidR="005D6290" w:rsidRPr="00B85AFD">
        <w:t xml:space="preserve">The decanal units </w:t>
      </w:r>
      <w:r w:rsidR="005D5012">
        <w:t>also</w:t>
      </w:r>
      <w:r w:rsidR="005D6290" w:rsidRPr="00B85AFD">
        <w:t xml:space="preserve"> bear their proportionate share of the indirect costs of the University</w:t>
      </w:r>
      <w:r>
        <w:t xml:space="preserve"> (for example, library services, information technology, student services, occupancy costs, and administration)</w:t>
      </w:r>
      <w:r w:rsidR="00174EF7">
        <w:t xml:space="preserve">.  </w:t>
      </w:r>
      <w:r w:rsidR="00E44232" w:rsidRPr="00B85AFD">
        <w:t>The remaining net revenues</w:t>
      </w:r>
      <w:r w:rsidR="005D5012">
        <w:t xml:space="preserve"> </w:t>
      </w:r>
      <w:r w:rsidR="00E44232" w:rsidRPr="00B85AFD">
        <w:t xml:space="preserve">of each decanal unit </w:t>
      </w:r>
      <w:r w:rsidR="00174EF7">
        <w:t>plus any allocation of the University Fund (either for new strategic investments or to partially mitigate the impact of changes during the transition to RCM)</w:t>
      </w:r>
      <w:r w:rsidR="00174EF7" w:rsidRPr="00B85AFD">
        <w:t xml:space="preserve"> </w:t>
      </w:r>
      <w:r w:rsidR="00E44232" w:rsidRPr="00B85AFD">
        <w:t xml:space="preserve">support their direct costs, including instructional staff and resources for the provision of their academic programming.  </w:t>
      </w:r>
    </w:p>
    <w:p w14:paraId="5D1C7F14" w14:textId="77777777" w:rsidR="00E44232" w:rsidRDefault="00E44232" w:rsidP="0030232D">
      <w:r w:rsidRPr="00B85AFD">
        <w:t>While RCM does not in and of itself increase net revenue for the University, it does promote innovative and efficient delivery of academic programming and enrolment planning by allowing increased revenue and cost savings to remain in the decanal unit that generates the positive change.</w:t>
      </w:r>
    </w:p>
    <w:p w14:paraId="294412BC" w14:textId="77777777" w:rsidR="0004517E" w:rsidRPr="00B85AFD" w:rsidRDefault="0004517E" w:rsidP="0030232D">
      <w:r>
        <w:t>In a challenging budget climate, RCM will, over time, allow the University to position itself in a way that addresses budget challenges and fosters a sustainable budget.  It will strive to allocate resources in a way that relies on fiscally relevant criteria that can be clearly measured</w:t>
      </w:r>
      <w:r w:rsidR="00AE1DCE">
        <w:t xml:space="preserve">.  RCM will be </w:t>
      </w:r>
      <w:r w:rsidR="00246187">
        <w:t>a key consideration</w:t>
      </w:r>
      <w:r w:rsidR="00AE1DCE">
        <w:t xml:space="preserve">, along with </w:t>
      </w:r>
      <w:r w:rsidR="00246187">
        <w:t xml:space="preserve">other principles including </w:t>
      </w:r>
      <w:r w:rsidR="00AE1DCE">
        <w:t>alignment with the University’s Strategic Plans, academic needs, and legislative or other mandatory requirements</w:t>
      </w:r>
      <w:r w:rsidR="00246187">
        <w:t>, when prioritizing and recommending new investments and changes to resource allocations</w:t>
      </w:r>
      <w:r w:rsidR="00AE1DCE">
        <w:t>.</w:t>
      </w:r>
    </w:p>
    <w:p w14:paraId="338F826D" w14:textId="77777777" w:rsidR="006F1C8B" w:rsidRDefault="006F1C8B" w:rsidP="007A06D0">
      <w:pPr>
        <w:spacing w:after="240" w:line="240" w:lineRule="auto"/>
        <w:jc w:val="both"/>
        <w:rPr>
          <w:rFonts w:ascii="Arial" w:hAnsi="Arial" w:cs="Arial"/>
          <w:b/>
          <w:color w:val="5B7F95"/>
          <w:sz w:val="24"/>
          <w:szCs w:val="24"/>
        </w:rPr>
      </w:pPr>
      <w:r>
        <w:rPr>
          <w:rFonts w:ascii="Arial" w:hAnsi="Arial" w:cs="Arial"/>
          <w:b/>
          <w:color w:val="5B7F95"/>
          <w:sz w:val="24"/>
          <w:szCs w:val="24"/>
        </w:rPr>
        <w:br w:type="page"/>
      </w:r>
    </w:p>
    <w:p w14:paraId="238B580E" w14:textId="77777777" w:rsidR="00094DDC" w:rsidRPr="009B215B" w:rsidRDefault="00094DDC" w:rsidP="0030232D">
      <w:pPr>
        <w:pStyle w:val="Heading2"/>
        <w:rPr>
          <w:b/>
          <w:bCs/>
        </w:rPr>
      </w:pPr>
      <w:r w:rsidRPr="009B215B">
        <w:rPr>
          <w:b/>
          <w:bCs/>
        </w:rPr>
        <w:lastRenderedPageBreak/>
        <w:t>RCM</w:t>
      </w:r>
      <w:r w:rsidR="00D73FA7" w:rsidRPr="009B215B">
        <w:rPr>
          <w:b/>
          <w:bCs/>
        </w:rPr>
        <w:t xml:space="preserve"> Principles</w:t>
      </w:r>
    </w:p>
    <w:p w14:paraId="33BDDD5D" w14:textId="77777777" w:rsidR="002E7316" w:rsidRPr="00813A71" w:rsidRDefault="00094DDC" w:rsidP="0030232D">
      <w:r w:rsidRPr="00813A71">
        <w:t>The University’s ancillary serv</w:t>
      </w:r>
      <w:r w:rsidR="002E7316" w:rsidRPr="00813A71">
        <w:t>i</w:t>
      </w:r>
      <w:r w:rsidRPr="00813A71">
        <w:t>ces</w:t>
      </w:r>
      <w:r w:rsidR="002E7316" w:rsidRPr="00813A71">
        <w:t xml:space="preserve"> already operate </w:t>
      </w:r>
      <w:r w:rsidR="00246187">
        <w:t xml:space="preserve">under </w:t>
      </w:r>
      <w:r w:rsidR="00397143">
        <w:t xml:space="preserve">similar </w:t>
      </w:r>
      <w:r w:rsidR="00246187">
        <w:t>principles as the</w:t>
      </w:r>
      <w:r w:rsidR="002E7316" w:rsidRPr="00813A71">
        <w:t xml:space="preserve"> RCM framework.  These services are expected to cover their budget allocations and infrastructure costs, and to contribute revenue to the operating budget of the University.  As it implements RCM, the University will extend RCM principles in a way that focuses on undergraduate enrolment, which is the University’s principle source of revenue.  In doing so, the University will apply RCM principles to its campuses and to its academic divisions.  </w:t>
      </w:r>
      <w:r w:rsidR="005F510B" w:rsidRPr="00813A71">
        <w:t xml:space="preserve">The application of RCM principles will strengthen academic divisions which are high performing from a fiscal point of view.  </w:t>
      </w:r>
    </w:p>
    <w:p w14:paraId="15E20F2E" w14:textId="77777777" w:rsidR="00D73FA7" w:rsidRPr="00813A71" w:rsidRDefault="00D73FA7" w:rsidP="0030232D">
      <w:r w:rsidRPr="00813A71">
        <w:t>The RCM budget principles are</w:t>
      </w:r>
      <w:r w:rsidR="001D2499">
        <w:t xml:space="preserve"> to</w:t>
      </w:r>
      <w:r w:rsidRPr="00813A71">
        <w:t>:</w:t>
      </w:r>
    </w:p>
    <w:p w14:paraId="1C6D1BC0" w14:textId="7AB2C267" w:rsidR="005F510B" w:rsidRPr="0030232D" w:rsidRDefault="005F510B" w:rsidP="0030232D">
      <w:pPr>
        <w:pStyle w:val="ListParagraph"/>
        <w:numPr>
          <w:ilvl w:val="0"/>
          <w:numId w:val="19"/>
        </w:numPr>
        <w:rPr>
          <w:lang w:val="en-US" w:eastAsia="en-US"/>
        </w:rPr>
      </w:pPr>
      <w:r w:rsidRPr="0030232D">
        <w:rPr>
          <w:rFonts w:eastAsiaTheme="minorEastAsia"/>
          <w:lang w:val="en-US" w:eastAsia="en-US"/>
        </w:rPr>
        <w:t xml:space="preserve">Provide full transparency, with respect to how decisions are made and </w:t>
      </w:r>
      <w:r w:rsidR="0030232D" w:rsidRPr="0030232D">
        <w:rPr>
          <w:rFonts w:eastAsiaTheme="minorEastAsia"/>
          <w:lang w:val="en-US" w:eastAsia="en-US"/>
        </w:rPr>
        <w:t>why.</w:t>
      </w:r>
    </w:p>
    <w:p w14:paraId="20CE4588" w14:textId="77777777" w:rsidR="006F1C8B" w:rsidRPr="00813A71" w:rsidRDefault="006F1C8B" w:rsidP="0030232D">
      <w:pPr>
        <w:rPr>
          <w:lang w:val="en-US" w:eastAsia="en-US"/>
        </w:rPr>
      </w:pPr>
    </w:p>
    <w:p w14:paraId="244E2F66" w14:textId="7B987C7A" w:rsidR="005F510B" w:rsidRPr="0030232D" w:rsidRDefault="005F510B" w:rsidP="0030232D">
      <w:pPr>
        <w:pStyle w:val="ListParagraph"/>
        <w:numPr>
          <w:ilvl w:val="0"/>
          <w:numId w:val="19"/>
        </w:numPr>
        <w:rPr>
          <w:lang w:val="en-US" w:eastAsia="en-US"/>
        </w:rPr>
      </w:pPr>
      <w:r w:rsidRPr="0030232D">
        <w:rPr>
          <w:rFonts w:eastAsiaTheme="minorEastAsia"/>
          <w:lang w:val="en-US" w:eastAsia="en-US"/>
        </w:rPr>
        <w:t>Incorporate balance and compromise with respect to defining model elements (</w:t>
      </w:r>
      <w:r w:rsidR="0030232D" w:rsidRPr="0030232D">
        <w:rPr>
          <w:rFonts w:eastAsiaTheme="minorEastAsia"/>
          <w:lang w:val="en-US" w:eastAsia="en-US"/>
        </w:rPr>
        <w:t>e.g.,</w:t>
      </w:r>
      <w:r w:rsidRPr="0030232D">
        <w:rPr>
          <w:rFonts w:eastAsiaTheme="minorEastAsia"/>
          <w:lang w:val="en-US" w:eastAsia="en-US"/>
        </w:rPr>
        <w:t xml:space="preserve"> economic reality vs simplicity</w:t>
      </w:r>
      <w:proofErr w:type="gramStart"/>
      <w:r w:rsidRPr="0030232D">
        <w:rPr>
          <w:rFonts w:eastAsiaTheme="minorEastAsia"/>
          <w:lang w:val="en-US" w:eastAsia="en-US"/>
        </w:rPr>
        <w:t>)</w:t>
      </w:r>
      <w:r w:rsidR="00893954" w:rsidRPr="0030232D">
        <w:rPr>
          <w:rFonts w:eastAsiaTheme="minorEastAsia"/>
          <w:lang w:val="en-US" w:eastAsia="en-US"/>
        </w:rPr>
        <w:t>;</w:t>
      </w:r>
      <w:proofErr w:type="gramEnd"/>
    </w:p>
    <w:p w14:paraId="667D3059" w14:textId="77777777" w:rsidR="006F1C8B" w:rsidRPr="00397143" w:rsidRDefault="006F1C8B" w:rsidP="0030232D">
      <w:pPr>
        <w:rPr>
          <w:lang w:val="en-US" w:eastAsia="en-US"/>
        </w:rPr>
      </w:pPr>
    </w:p>
    <w:p w14:paraId="6BB4AD6E" w14:textId="6DA44DB8" w:rsidR="005F510B" w:rsidRPr="0030232D" w:rsidRDefault="005F510B" w:rsidP="0030232D">
      <w:pPr>
        <w:pStyle w:val="ListParagraph"/>
        <w:numPr>
          <w:ilvl w:val="0"/>
          <w:numId w:val="19"/>
        </w:numPr>
        <w:rPr>
          <w:lang w:val="en-US" w:eastAsia="en-US"/>
        </w:rPr>
      </w:pPr>
      <w:r w:rsidRPr="0030232D">
        <w:rPr>
          <w:rFonts w:eastAsiaTheme="minorEastAsia"/>
          <w:lang w:val="en-US" w:eastAsia="en-US"/>
        </w:rPr>
        <w:t xml:space="preserve">Provide incentives for initiatives that generate new revenues and/or reduce operating </w:t>
      </w:r>
      <w:r w:rsidR="0030232D" w:rsidRPr="0030232D">
        <w:rPr>
          <w:rFonts w:eastAsiaTheme="minorEastAsia"/>
          <w:lang w:val="en-US" w:eastAsia="en-US"/>
        </w:rPr>
        <w:t>costs.</w:t>
      </w:r>
    </w:p>
    <w:p w14:paraId="0D6E52C5" w14:textId="77777777" w:rsidR="006F1C8B" w:rsidRPr="00397143" w:rsidRDefault="006F1C8B" w:rsidP="0030232D">
      <w:pPr>
        <w:rPr>
          <w:lang w:val="en-US" w:eastAsia="en-US"/>
        </w:rPr>
      </w:pPr>
    </w:p>
    <w:p w14:paraId="5C6A0224" w14:textId="3D875E03" w:rsidR="005F510B" w:rsidRPr="0030232D" w:rsidRDefault="005F510B" w:rsidP="0030232D">
      <w:pPr>
        <w:pStyle w:val="ListParagraph"/>
        <w:numPr>
          <w:ilvl w:val="0"/>
          <w:numId w:val="19"/>
        </w:numPr>
        <w:rPr>
          <w:lang w:val="en-US" w:eastAsia="en-US"/>
        </w:rPr>
      </w:pPr>
      <w:r w:rsidRPr="0030232D">
        <w:rPr>
          <w:rFonts w:eastAsiaTheme="minorEastAsia"/>
          <w:lang w:val="en-US" w:eastAsia="en-US"/>
        </w:rPr>
        <w:t>Attribute revenues and costs in a manner that encourages and supports inter-divisional activity to avoid redundancy</w:t>
      </w:r>
      <w:r w:rsidR="00893954" w:rsidRPr="0030232D">
        <w:rPr>
          <w:rFonts w:eastAsiaTheme="minorEastAsia"/>
          <w:lang w:val="en-US" w:eastAsia="en-US"/>
        </w:rPr>
        <w:t>,</w:t>
      </w:r>
      <w:r w:rsidRPr="0030232D">
        <w:rPr>
          <w:rFonts w:eastAsiaTheme="minorEastAsia"/>
          <w:lang w:val="en-US" w:eastAsia="en-US"/>
        </w:rPr>
        <w:t xml:space="preserve"> duplication</w:t>
      </w:r>
      <w:r w:rsidR="00893954" w:rsidRPr="0030232D">
        <w:rPr>
          <w:rFonts w:eastAsiaTheme="minorEastAsia"/>
          <w:lang w:val="en-US" w:eastAsia="en-US"/>
        </w:rPr>
        <w:t xml:space="preserve"> and adverse </w:t>
      </w:r>
      <w:r w:rsidR="0030232D" w:rsidRPr="0030232D">
        <w:rPr>
          <w:rFonts w:eastAsiaTheme="minorEastAsia"/>
          <w:lang w:val="en-US" w:eastAsia="en-US"/>
        </w:rPr>
        <w:t>actions.</w:t>
      </w:r>
    </w:p>
    <w:p w14:paraId="69E11038" w14:textId="77777777" w:rsidR="006F1C8B" w:rsidRPr="00813A71" w:rsidRDefault="006F1C8B" w:rsidP="0030232D">
      <w:pPr>
        <w:rPr>
          <w:lang w:val="en-US" w:eastAsia="en-US"/>
        </w:rPr>
      </w:pPr>
    </w:p>
    <w:p w14:paraId="7A3818D2" w14:textId="77777777" w:rsidR="005F510B" w:rsidRPr="0030232D" w:rsidRDefault="001D2499" w:rsidP="0030232D">
      <w:pPr>
        <w:pStyle w:val="ListParagraph"/>
        <w:numPr>
          <w:ilvl w:val="0"/>
          <w:numId w:val="19"/>
        </w:numPr>
        <w:rPr>
          <w:lang w:val="en-US" w:eastAsia="en-US"/>
        </w:rPr>
      </w:pPr>
      <w:r w:rsidRPr="0030232D">
        <w:rPr>
          <w:rFonts w:eastAsiaTheme="minorEastAsia"/>
          <w:lang w:val="en-US" w:eastAsia="en-US"/>
        </w:rPr>
        <w:t>Develop a m</w:t>
      </w:r>
      <w:r w:rsidR="005F510B" w:rsidRPr="0030232D">
        <w:rPr>
          <w:rFonts w:eastAsiaTheme="minorEastAsia"/>
          <w:lang w:val="en-US" w:eastAsia="en-US"/>
        </w:rPr>
        <w:t xml:space="preserve">odel and processes </w:t>
      </w:r>
      <w:r w:rsidRPr="0030232D">
        <w:rPr>
          <w:rFonts w:eastAsiaTheme="minorEastAsia"/>
          <w:lang w:val="en-US" w:eastAsia="en-US"/>
        </w:rPr>
        <w:t>that are</w:t>
      </w:r>
      <w:r w:rsidR="005F510B" w:rsidRPr="0030232D">
        <w:rPr>
          <w:rFonts w:eastAsiaTheme="minorEastAsia"/>
          <w:lang w:val="en-US" w:eastAsia="en-US"/>
        </w:rPr>
        <w:t xml:space="preserve"> simple to use, explain and maintain</w:t>
      </w:r>
      <w:r w:rsidR="00893954" w:rsidRPr="0030232D">
        <w:rPr>
          <w:rFonts w:eastAsiaTheme="minorEastAsia"/>
          <w:lang w:val="en-US" w:eastAsia="en-US"/>
        </w:rPr>
        <w:t>; and</w:t>
      </w:r>
    </w:p>
    <w:p w14:paraId="551D2061" w14:textId="77777777" w:rsidR="006F1C8B" w:rsidRPr="00397143" w:rsidRDefault="006F1C8B" w:rsidP="0030232D">
      <w:pPr>
        <w:rPr>
          <w:lang w:val="en-US" w:eastAsia="en-US"/>
        </w:rPr>
      </w:pPr>
    </w:p>
    <w:p w14:paraId="59701F40" w14:textId="77777777" w:rsidR="005F510B" w:rsidRPr="0030232D" w:rsidRDefault="005F510B" w:rsidP="0030232D">
      <w:pPr>
        <w:pStyle w:val="ListParagraph"/>
        <w:numPr>
          <w:ilvl w:val="0"/>
          <w:numId w:val="19"/>
        </w:numPr>
        <w:rPr>
          <w:lang w:val="en-US" w:eastAsia="en-US"/>
        </w:rPr>
      </w:pPr>
      <w:r w:rsidRPr="0030232D">
        <w:rPr>
          <w:rFonts w:eastAsiaTheme="minorEastAsia"/>
          <w:lang w:val="en-US" w:eastAsia="en-US"/>
        </w:rPr>
        <w:t>Support the academic goals of the University as set out in the Strategic Mandate Agreement</w:t>
      </w:r>
    </w:p>
    <w:p w14:paraId="3D6BB750" w14:textId="77777777" w:rsidR="00F61B13" w:rsidRPr="009B215B" w:rsidRDefault="00F61B13" w:rsidP="0030232D">
      <w:pPr>
        <w:pStyle w:val="Heading2"/>
        <w:rPr>
          <w:b/>
          <w:bCs/>
        </w:rPr>
      </w:pPr>
      <w:r w:rsidRPr="009B215B">
        <w:rPr>
          <w:b/>
          <w:bCs/>
        </w:rPr>
        <w:t>RCM Benefits</w:t>
      </w:r>
    </w:p>
    <w:p w14:paraId="68644277" w14:textId="77777777" w:rsidR="005F510B" w:rsidRDefault="001C38A9" w:rsidP="0030232D">
      <w:r w:rsidRPr="00813A71">
        <w:t xml:space="preserve">The </w:t>
      </w:r>
      <w:r w:rsidR="00D73FA7" w:rsidRPr="00813A71">
        <w:t xml:space="preserve">RCM model </w:t>
      </w:r>
      <w:r w:rsidRPr="00813A71">
        <w:t>has many benefits as it focuses on</w:t>
      </w:r>
      <w:r w:rsidR="00D73FA7" w:rsidRPr="00813A71">
        <w:t xml:space="preserve"> providing incentives to attract new students and to use resources efficiently, </w:t>
      </w:r>
      <w:r w:rsidRPr="00813A71">
        <w:t>promotes</w:t>
      </w:r>
      <w:r w:rsidR="00D73FA7" w:rsidRPr="00813A71">
        <w:t xml:space="preserve"> creative opportunities that benefit the entire institution</w:t>
      </w:r>
      <w:r w:rsidRPr="00813A71">
        <w:t>,</w:t>
      </w:r>
      <w:r w:rsidR="00D73FA7" w:rsidRPr="00813A71">
        <w:t xml:space="preserve"> </w:t>
      </w:r>
      <w:r w:rsidR="005F152E" w:rsidRPr="00813A71">
        <w:t xml:space="preserve">translates strategic goals into operating plans, </w:t>
      </w:r>
      <w:r w:rsidR="00D73FA7" w:rsidRPr="00813A71">
        <w:t xml:space="preserve">and </w:t>
      </w:r>
      <w:r w:rsidRPr="00813A71">
        <w:t xml:space="preserve">identifies the true nature of internal subsidies.  </w:t>
      </w:r>
      <w:r w:rsidR="005F152E" w:rsidRPr="00813A71">
        <w:t xml:space="preserve">RCM resolves the pitfalls of the incremental budgeting process, which fails to evaluate historical base budget allocations or adequately reflect key drivers.  </w:t>
      </w:r>
      <w:r w:rsidRPr="00813A71">
        <w:t xml:space="preserve">It is important to be mindful of </w:t>
      </w:r>
      <w:r w:rsidR="005F152E" w:rsidRPr="00813A71">
        <w:t xml:space="preserve">and manage the </w:t>
      </w:r>
      <w:r w:rsidRPr="00813A71">
        <w:t xml:space="preserve">potential challenges </w:t>
      </w:r>
      <w:r w:rsidR="005F152E" w:rsidRPr="00813A71">
        <w:t>of the RCM model by encouraging revenue</w:t>
      </w:r>
      <w:r w:rsidR="00C16489" w:rsidRPr="00813A71">
        <w:t xml:space="preserve"> growth over revenue transfer, </w:t>
      </w:r>
      <w:r w:rsidR="00E945A8" w:rsidRPr="00813A71">
        <w:t>maintaining a focus that balances</w:t>
      </w:r>
      <w:r w:rsidR="005F152E" w:rsidRPr="00813A71">
        <w:t xml:space="preserve"> both academic and financial </w:t>
      </w:r>
      <w:r w:rsidR="00C16489" w:rsidRPr="00813A71">
        <w:t>needs</w:t>
      </w:r>
      <w:r w:rsidR="005F152E" w:rsidRPr="00813A71">
        <w:t xml:space="preserve"> in decision making, and mitigating potential negative effects on shared services funding.</w:t>
      </w:r>
    </w:p>
    <w:p w14:paraId="6956B73B" w14:textId="77777777" w:rsidR="006F1C8B" w:rsidRDefault="006F1C8B" w:rsidP="007A06D0">
      <w:pPr>
        <w:spacing w:after="240" w:line="240" w:lineRule="auto"/>
        <w:jc w:val="both"/>
        <w:rPr>
          <w:rFonts w:ascii="Arial" w:hAnsi="Arial" w:cs="Arial"/>
          <w:b/>
          <w:color w:val="5B7F95"/>
          <w:sz w:val="24"/>
          <w:szCs w:val="24"/>
        </w:rPr>
      </w:pPr>
      <w:r>
        <w:rPr>
          <w:rFonts w:ascii="Arial" w:hAnsi="Arial" w:cs="Arial"/>
          <w:b/>
          <w:color w:val="5B7F95"/>
          <w:sz w:val="24"/>
          <w:szCs w:val="24"/>
        </w:rPr>
        <w:br w:type="page"/>
      </w:r>
    </w:p>
    <w:p w14:paraId="3EC030C5" w14:textId="77777777" w:rsidR="005F152E" w:rsidRPr="009B215B" w:rsidRDefault="00EB6F0B" w:rsidP="0030232D">
      <w:pPr>
        <w:pStyle w:val="Heading2"/>
        <w:rPr>
          <w:b/>
          <w:bCs/>
        </w:rPr>
      </w:pPr>
      <w:r w:rsidRPr="009B215B">
        <w:rPr>
          <w:b/>
          <w:bCs/>
        </w:rPr>
        <w:lastRenderedPageBreak/>
        <w:t>The University Fund</w:t>
      </w:r>
    </w:p>
    <w:p w14:paraId="6E1BC357" w14:textId="77777777" w:rsidR="00F61CC2" w:rsidRDefault="00EB6F0B" w:rsidP="0030232D">
      <w:r>
        <w:t xml:space="preserve">RCM budgeting encourages operational units to make changes which will improve the fiscal situation of the </w:t>
      </w:r>
      <w:r w:rsidR="0028352B">
        <w:t xml:space="preserve">academic division and the </w:t>
      </w:r>
      <w:r>
        <w:t>University</w:t>
      </w:r>
      <w:r w:rsidR="0028352B">
        <w:t>, th</w:t>
      </w:r>
      <w:r w:rsidR="003B7159">
        <w:t>rough two principal means</w:t>
      </w:r>
      <w:r w:rsidR="00F61CC2">
        <w:t xml:space="preserve">:  </w:t>
      </w:r>
    </w:p>
    <w:p w14:paraId="3A21CF46" w14:textId="77777777" w:rsidR="0028352B" w:rsidRDefault="00F61CC2" w:rsidP="0030232D">
      <w:pPr>
        <w:pStyle w:val="ListParagraph"/>
        <w:numPr>
          <w:ilvl w:val="0"/>
          <w:numId w:val="20"/>
        </w:numPr>
      </w:pPr>
      <w:r w:rsidRPr="0030232D">
        <w:rPr>
          <w:b/>
          <w:color w:val="154734"/>
        </w:rPr>
        <w:t>Generating Additional Revenue</w:t>
      </w:r>
      <w:r w:rsidRPr="0030232D">
        <w:rPr>
          <w:color w:val="000000" w:themeColor="text1"/>
        </w:rPr>
        <w:t xml:space="preserve">:  </w:t>
      </w:r>
      <w:r w:rsidR="0028352B" w:rsidRPr="0030232D">
        <w:rPr>
          <w:color w:val="000000" w:themeColor="text1"/>
        </w:rPr>
        <w:t xml:space="preserve">Revenue growth can be accomplished in a variety of ways including, </w:t>
      </w:r>
      <w:r w:rsidR="00EB6F0B" w:rsidRPr="0028352B">
        <w:t xml:space="preserve">by changing programs </w:t>
      </w:r>
      <w:r w:rsidR="0028352B">
        <w:t>to</w:t>
      </w:r>
      <w:r w:rsidR="00EB6F0B" w:rsidRPr="0028352B">
        <w:t xml:space="preserve"> attract more students</w:t>
      </w:r>
      <w:r w:rsidR="00E50DB3" w:rsidRPr="0028352B">
        <w:t>, by introducing new programs</w:t>
      </w:r>
      <w:r w:rsidR="00EB6F0B" w:rsidRPr="0028352B">
        <w:t xml:space="preserve">, </w:t>
      </w:r>
      <w:r w:rsidR="0028352B">
        <w:t xml:space="preserve">by teaching more students in other programs, and by developing international programs.  </w:t>
      </w:r>
      <w:r w:rsidR="0028352B" w:rsidRPr="0028352B">
        <w:t>New programs must be academically strong and aligned with Trent’s strategic academic directions to ensure they attract the students needed to make them fiscally viable.</w:t>
      </w:r>
    </w:p>
    <w:p w14:paraId="3E199535" w14:textId="77777777" w:rsidR="005D5012" w:rsidRPr="00397143" w:rsidRDefault="005D5012" w:rsidP="0030232D"/>
    <w:p w14:paraId="767DF7DB" w14:textId="77777777" w:rsidR="005D5012" w:rsidRDefault="005D5012" w:rsidP="0030232D">
      <w:pPr>
        <w:pStyle w:val="ListParagraph"/>
        <w:numPr>
          <w:ilvl w:val="0"/>
          <w:numId w:val="20"/>
        </w:numPr>
      </w:pPr>
      <w:r w:rsidRPr="0030232D">
        <w:rPr>
          <w:b/>
          <w:color w:val="154734"/>
        </w:rPr>
        <w:t>Reducing Costs</w:t>
      </w:r>
      <w:r>
        <w:t>:  Expenditures can be reduced by finding more efficient ways to use the budget allocation or introducing better ways of delivering services.</w:t>
      </w:r>
    </w:p>
    <w:p w14:paraId="599A7216" w14:textId="77777777" w:rsidR="00EB6F0B" w:rsidRPr="0028352B" w:rsidRDefault="00EB6F0B" w:rsidP="0030232D">
      <w:r w:rsidRPr="0028352B">
        <w:t>In many cases, changes should be a normal part of the program and curriculum maintenance</w:t>
      </w:r>
      <w:r w:rsidR="007A06D0" w:rsidRPr="0028352B">
        <w:t xml:space="preserve"> and development, as is the case with academic programs that evolve as a normal consequence of cyclical program reviews.  In other cases, changes to programs or the development of new programs may require some investment.</w:t>
      </w:r>
    </w:p>
    <w:p w14:paraId="151794A1" w14:textId="77777777" w:rsidR="00DD65BB" w:rsidRDefault="007A06D0" w:rsidP="0030232D">
      <w:r>
        <w:t>Seed funding may be available from external sources</w:t>
      </w:r>
      <w:r w:rsidR="00713B53">
        <w:t xml:space="preserve"> (</w:t>
      </w:r>
      <w:r>
        <w:t>for example, provincial funds</w:t>
      </w:r>
      <w:r w:rsidR="00713B53">
        <w:t xml:space="preserve">) or from internal funds (such as the </w:t>
      </w:r>
      <w:r>
        <w:t xml:space="preserve">Provost’s Fund managed by the Provost </w:t>
      </w:r>
      <w:r w:rsidR="00713B53">
        <w:t xml:space="preserve">and Vice-President Academic).  As much as is possible, administration will try to find ways to support promising projects.  Funding from internal sources will be temporary, in the first instance, and will aim to support the implementation of changes within a unit that lead to revenue generation and/or base savings.  This funding may become a part of base funding if the changes are consistently successful.  </w:t>
      </w:r>
    </w:p>
    <w:p w14:paraId="44ADA7C6" w14:textId="77777777" w:rsidR="00695684" w:rsidRDefault="00DD65BB" w:rsidP="0030232D">
      <w:r>
        <w:t xml:space="preserve">An important feature of the RCM model is the creation of a University Fund which will provide funding to support institutional priorities and provide incentives for new programs and revenue growth.  Under </w:t>
      </w:r>
      <w:r w:rsidR="00695684">
        <w:t xml:space="preserve">the </w:t>
      </w:r>
      <w:r>
        <w:t xml:space="preserve">RCM framework, each academic division will contribute 5% of its total gross revenue to the University Fund.  </w:t>
      </w:r>
    </w:p>
    <w:p w14:paraId="550A351D" w14:textId="77777777" w:rsidR="00DD65BB" w:rsidRDefault="00DD65BB" w:rsidP="0030232D">
      <w:r>
        <w:t xml:space="preserve">Initially, it will be necessary to use </w:t>
      </w:r>
      <w:r w:rsidR="00695684">
        <w:t>part</w:t>
      </w:r>
      <w:r>
        <w:t xml:space="preserve"> of the University Fund to </w:t>
      </w:r>
      <w:r w:rsidR="00695684">
        <w:t>help</w:t>
      </w:r>
      <w:r>
        <w:t xml:space="preserve"> mitigate the impact of changes required during the transition to full implementation of the RCM.  Changes in programming </w:t>
      </w:r>
      <w:r w:rsidR="00695684">
        <w:t xml:space="preserve">and </w:t>
      </w:r>
      <w:r>
        <w:t xml:space="preserve">resources may take multiple years to implement due to </w:t>
      </w:r>
      <w:r w:rsidR="00695684">
        <w:t xml:space="preserve">factors such as the </w:t>
      </w:r>
      <w:r>
        <w:t xml:space="preserve">continuation of students, and collective </w:t>
      </w:r>
      <w:r w:rsidR="00695684">
        <w:t>agreement provisions</w:t>
      </w:r>
      <w:r>
        <w:t>.</w:t>
      </w:r>
      <w:r w:rsidR="00695684">
        <w:t xml:space="preserve">  Future decisions regarding distributions from the University Fund will be made by the President and Vice-Presidents Committee</w:t>
      </w:r>
      <w:r w:rsidR="000B7DB7">
        <w:t xml:space="preserve"> </w:t>
      </w:r>
      <w:proofErr w:type="gramStart"/>
      <w:r w:rsidR="000B7DB7">
        <w:t>giving careful consideration to</w:t>
      </w:r>
      <w:proofErr w:type="gramEnd"/>
      <w:r w:rsidR="000B7DB7">
        <w:t xml:space="preserve"> the academic planning requirements necessary to meet the needs of the growing student enrolment</w:t>
      </w:r>
      <w:r w:rsidR="008E21EA">
        <w:t>, alignment with the University’s Strategic Plans, legislative or other mandatory requirements,</w:t>
      </w:r>
      <w:r w:rsidR="000B7DB7">
        <w:t xml:space="preserve"> and progress towards each academic division’s RCM target.</w:t>
      </w:r>
    </w:p>
    <w:p w14:paraId="03A47FBE" w14:textId="77777777" w:rsidR="00D0559A" w:rsidRPr="00B85AFD" w:rsidRDefault="006F1C8B" w:rsidP="00D0559A">
      <w:pPr>
        <w:pStyle w:val="NoSpacing"/>
        <w:spacing w:after="240"/>
        <w:jc w:val="both"/>
        <w:rPr>
          <w:rFonts w:ascii="Arial" w:hAnsi="Arial" w:cs="Arial"/>
        </w:rPr>
      </w:pPr>
      <w:r>
        <w:rPr>
          <w:rFonts w:ascii="Arial" w:hAnsi="Arial" w:cs="Arial"/>
          <w:b/>
          <w:color w:val="5B7F95"/>
        </w:rPr>
        <w:br w:type="page"/>
      </w:r>
    </w:p>
    <w:p w14:paraId="58C54635" w14:textId="77777777" w:rsidR="000B7DB7" w:rsidRPr="009B215B" w:rsidRDefault="00A97AE3" w:rsidP="0030232D">
      <w:pPr>
        <w:pStyle w:val="Heading2"/>
        <w:rPr>
          <w:b/>
          <w:bCs/>
        </w:rPr>
      </w:pPr>
      <w:r w:rsidRPr="009B215B">
        <w:rPr>
          <w:b/>
          <w:bCs/>
        </w:rPr>
        <w:lastRenderedPageBreak/>
        <w:t>R</w:t>
      </w:r>
      <w:r w:rsidR="000B7DB7" w:rsidRPr="009B215B">
        <w:rPr>
          <w:b/>
          <w:bCs/>
        </w:rPr>
        <w:t>CM Academic Divisions</w:t>
      </w:r>
    </w:p>
    <w:p w14:paraId="23234336" w14:textId="77777777" w:rsidR="00790C2A" w:rsidRPr="00813A71" w:rsidRDefault="0002194B" w:rsidP="0030232D">
      <w:r>
        <w:t xml:space="preserve">The RCM model will initially be applied to the </w:t>
      </w:r>
      <w:r w:rsidR="00590AD3">
        <w:t xml:space="preserve">six </w:t>
      </w:r>
      <w:r>
        <w:t xml:space="preserve">academic divisions of the University as </w:t>
      </w:r>
      <w:r w:rsidR="0092020B">
        <w:t xml:space="preserve">described below.  </w:t>
      </w:r>
    </w:p>
    <w:p w14:paraId="1AD62DEF" w14:textId="77777777" w:rsidR="00ED735D" w:rsidRDefault="00ED735D" w:rsidP="0030232D">
      <w:r>
        <w:t>The Schools of Nursing and Education, and Trent Durham will have customized RCM applications because they have unique funding arrangements and are already measured on a contribution basis, and because they have more complex costs and revenues than other academic divisions</w:t>
      </w:r>
      <w:r w:rsidR="00790C2A">
        <w:t xml:space="preserve"> </w:t>
      </w:r>
      <w:r w:rsidR="003B7159">
        <w:t>as</w:t>
      </w:r>
      <w:r w:rsidR="00790C2A">
        <w:t xml:space="preserve"> they typically involve other sources of revenue and other expenses.</w:t>
      </w:r>
    </w:p>
    <w:p w14:paraId="25ACEFF6" w14:textId="20D0D9EC" w:rsidR="000B7DB7" w:rsidRDefault="0002194B" w:rsidP="0030232D">
      <w:pPr>
        <w:pStyle w:val="ListParagraph"/>
        <w:numPr>
          <w:ilvl w:val="0"/>
          <w:numId w:val="21"/>
        </w:numPr>
      </w:pPr>
      <w:r w:rsidRPr="0030232D">
        <w:rPr>
          <w:b/>
          <w:color w:val="154734"/>
        </w:rPr>
        <w:t>Durham</w:t>
      </w:r>
      <w:r>
        <w:t xml:space="preserve">:  </w:t>
      </w:r>
      <w:r w:rsidR="000B7DB7" w:rsidRPr="00DA3CC1">
        <w:t xml:space="preserve">In implementing RCM, the University will treat Trent’s Durham campus as a distinct budget </w:t>
      </w:r>
      <w:r w:rsidR="009B215B" w:rsidRPr="00DA3CC1">
        <w:t>unit and</w:t>
      </w:r>
      <w:r w:rsidR="000B7DB7" w:rsidRPr="00DA3CC1">
        <w:t xml:space="preserve"> will track its revenues and expenditures separately.  </w:t>
      </w:r>
      <w:r w:rsidR="00E50DB3">
        <w:t xml:space="preserve">Like every academic division, Durham will be expected to contribute to central </w:t>
      </w:r>
      <w:r w:rsidR="00893954">
        <w:t>shared services, where applicable</w:t>
      </w:r>
      <w:r w:rsidR="00E50DB3">
        <w:t xml:space="preserve">.  </w:t>
      </w:r>
      <w:r w:rsidR="000B7DB7" w:rsidRPr="00DA3CC1">
        <w:t xml:space="preserve">This approach will allow the University to clearly track the revenues and costs generated by the Durham operations.  </w:t>
      </w:r>
    </w:p>
    <w:p w14:paraId="767E6470" w14:textId="77777777" w:rsidR="0002194B" w:rsidRDefault="0002194B" w:rsidP="0030232D"/>
    <w:p w14:paraId="69E0261B" w14:textId="77777777" w:rsidR="0092020B" w:rsidRDefault="0002194B" w:rsidP="0030232D">
      <w:pPr>
        <w:pStyle w:val="ListParagraph"/>
        <w:numPr>
          <w:ilvl w:val="0"/>
          <w:numId w:val="21"/>
        </w:numPr>
      </w:pPr>
      <w:r w:rsidRPr="0030232D">
        <w:rPr>
          <w:b/>
          <w:color w:val="154734"/>
        </w:rPr>
        <w:t>Education</w:t>
      </w:r>
      <w:r w:rsidRPr="0002194B">
        <w:t xml:space="preserve">:  </w:t>
      </w:r>
      <w:r w:rsidR="00DA3CC1" w:rsidRPr="0002194B">
        <w:t xml:space="preserve">Students of The </w:t>
      </w:r>
      <w:r w:rsidR="00DA3CC1" w:rsidRPr="0092020B">
        <w:t xml:space="preserve">School of Education only take </w:t>
      </w:r>
      <w:r w:rsidR="00DA3CC1" w:rsidRPr="0002194B">
        <w:t xml:space="preserve">Education courses, so the revenue they generate is </w:t>
      </w:r>
      <w:r w:rsidR="00274321">
        <w:t>almost entirely</w:t>
      </w:r>
      <w:r w:rsidR="00DA3CC1" w:rsidRPr="0002194B">
        <w:t xml:space="preserve"> attributable to the School of Education.  </w:t>
      </w:r>
      <w:r w:rsidR="00893954">
        <w:t xml:space="preserve">The Teacher Education Stream also includes undergraduate courses for Education.  </w:t>
      </w:r>
      <w:r w:rsidR="00DA3CC1" w:rsidRPr="0002194B">
        <w:t xml:space="preserve">In addition, Education generates revenue through professional (AQ) courses taught to working teachers who wish to upgrade their qualifications.  </w:t>
      </w:r>
      <w:r w:rsidR="00274321">
        <w:t>A portion of this revenue is transferred to the operating budget to support the undergraduate and graduate Education programs.</w:t>
      </w:r>
    </w:p>
    <w:p w14:paraId="5722B8BE" w14:textId="77777777" w:rsidR="0092020B" w:rsidRPr="0092020B" w:rsidRDefault="0092020B" w:rsidP="0030232D"/>
    <w:p w14:paraId="6A16302E" w14:textId="77777777" w:rsidR="000B7DB7" w:rsidRDefault="0092020B" w:rsidP="0030232D">
      <w:pPr>
        <w:pStyle w:val="ListParagraph"/>
        <w:numPr>
          <w:ilvl w:val="0"/>
          <w:numId w:val="21"/>
        </w:numPr>
      </w:pPr>
      <w:r w:rsidRPr="0030232D">
        <w:rPr>
          <w:b/>
          <w:color w:val="154734"/>
        </w:rPr>
        <w:t>Nursing</w:t>
      </w:r>
      <w:r>
        <w:t xml:space="preserve">:  </w:t>
      </w:r>
      <w:r w:rsidR="00DA3CC1" w:rsidRPr="0002194B">
        <w:t xml:space="preserve">In the case of Nursing, revenue is tied to special grants shared with Fleming and George Brown Colleges. </w:t>
      </w:r>
      <w:r w:rsidR="00274321">
        <w:t xml:space="preserve">This revenue is included in Provincial Grants and allocated accordingly.  As is the case with other divisions, there is a </w:t>
      </w:r>
      <w:r w:rsidR="00DA3CC1" w:rsidRPr="0002194B">
        <w:t xml:space="preserve">need to include a recognition of the role that courses in other </w:t>
      </w:r>
      <w:r>
        <w:t>d</w:t>
      </w:r>
      <w:r w:rsidR="00DA3CC1" w:rsidRPr="0002194B">
        <w:t>ivisions play in Nursing Education.</w:t>
      </w:r>
    </w:p>
    <w:p w14:paraId="704348C6" w14:textId="77777777" w:rsidR="0092020B" w:rsidRPr="0092020B" w:rsidRDefault="0092020B" w:rsidP="0030232D"/>
    <w:p w14:paraId="604BBBA1" w14:textId="77777777" w:rsidR="0092020B" w:rsidRDefault="0092020B" w:rsidP="0030232D">
      <w:pPr>
        <w:pStyle w:val="ListParagraph"/>
        <w:numPr>
          <w:ilvl w:val="0"/>
          <w:numId w:val="21"/>
        </w:numPr>
      </w:pPr>
      <w:r w:rsidRPr="0030232D">
        <w:rPr>
          <w:b/>
          <w:color w:val="154734"/>
        </w:rPr>
        <w:t>Humanities</w:t>
      </w:r>
      <w:r>
        <w:t xml:space="preserve">:  The prime revenue generated by the Humanities division is the tuition </w:t>
      </w:r>
      <w:r w:rsidR="00282006">
        <w:t xml:space="preserve">fees </w:t>
      </w:r>
      <w:r>
        <w:t xml:space="preserve">and government grants associated with undergraduate enrolment.  Individual students are served by a variety of departments which include those who offer </w:t>
      </w:r>
      <w:r w:rsidR="00282006">
        <w:t xml:space="preserve">their </w:t>
      </w:r>
      <w:r w:rsidR="00590AD3">
        <w:t xml:space="preserve">Humanities </w:t>
      </w:r>
      <w:r w:rsidR="00282006">
        <w:t>major(s) and those that offer other courses they take.  The University will attribute the revenue generated on a per course basis</w:t>
      </w:r>
      <w:r w:rsidR="00590AD3">
        <w:t>.  As a student will take more courses in their major than in other areas, this allocation process will mean more of the revenue generated will be attributed to the Humanities division, but other</w:t>
      </w:r>
      <w:r w:rsidR="00282006">
        <w:t xml:space="preserve"> division</w:t>
      </w:r>
      <w:r w:rsidR="00590AD3">
        <w:t>s</w:t>
      </w:r>
      <w:r w:rsidR="00282006">
        <w:t xml:space="preserve"> that teach courses </w:t>
      </w:r>
      <w:r w:rsidR="00893954">
        <w:t>taken by Humanities students</w:t>
      </w:r>
      <w:r w:rsidR="00282006">
        <w:t xml:space="preserve"> will be credited with </w:t>
      </w:r>
      <w:r w:rsidR="00590AD3">
        <w:t>equal revenue per course for the courses they teach.</w:t>
      </w:r>
    </w:p>
    <w:p w14:paraId="5469F850" w14:textId="77777777" w:rsidR="00590AD3" w:rsidRPr="00590AD3" w:rsidRDefault="00590AD3" w:rsidP="0030232D"/>
    <w:p w14:paraId="0067F354" w14:textId="77777777" w:rsidR="00590AD3" w:rsidRDefault="00590AD3" w:rsidP="0030232D">
      <w:pPr>
        <w:pStyle w:val="ListParagraph"/>
        <w:numPr>
          <w:ilvl w:val="0"/>
          <w:numId w:val="21"/>
        </w:numPr>
      </w:pPr>
      <w:r w:rsidRPr="0030232D">
        <w:rPr>
          <w:b/>
          <w:color w:val="154734"/>
        </w:rPr>
        <w:lastRenderedPageBreak/>
        <w:t>Sciences</w:t>
      </w:r>
      <w:r>
        <w:t xml:space="preserve">:  </w:t>
      </w:r>
      <w:r w:rsidR="00E50DB3">
        <w:t>T</w:t>
      </w:r>
      <w:r>
        <w:t xml:space="preserve">he prime revenue generated by the Sciences division is the tuition fees and government grants associated with undergraduate enrolment.  </w:t>
      </w:r>
      <w:r w:rsidR="00E50DB3">
        <w:t xml:space="preserve">As is the case with Humanities, individual students take courses across the academic divisions.  </w:t>
      </w:r>
      <w:r>
        <w:t>The University will attribute the revenue generated on a per course basis as described under the Humanities division.</w:t>
      </w:r>
    </w:p>
    <w:p w14:paraId="2EEE7DF6" w14:textId="77777777" w:rsidR="00590AD3" w:rsidRPr="00590AD3" w:rsidRDefault="00590AD3" w:rsidP="0030232D"/>
    <w:p w14:paraId="0E6312CD" w14:textId="77777777" w:rsidR="00E50DB3" w:rsidRPr="0030232D" w:rsidRDefault="00E50DB3" w:rsidP="0030232D">
      <w:pPr>
        <w:pStyle w:val="ListParagraph"/>
        <w:numPr>
          <w:ilvl w:val="0"/>
          <w:numId w:val="21"/>
        </w:numPr>
      </w:pPr>
      <w:r w:rsidRPr="0030232D">
        <w:rPr>
          <w:b/>
          <w:color w:val="154734"/>
        </w:rPr>
        <w:t>Social Sciences</w:t>
      </w:r>
      <w:r w:rsidRPr="0030232D">
        <w:t xml:space="preserve">:  The prime revenue generated by the </w:t>
      </w:r>
      <w:r w:rsidR="00274321" w:rsidRPr="0030232D">
        <w:t xml:space="preserve">Social </w:t>
      </w:r>
      <w:r w:rsidRPr="0030232D">
        <w:t>Sciences division is the tuition fees and government grants associated with undergraduate enrolment.  As is the case with Humanities</w:t>
      </w:r>
      <w:r w:rsidR="00653556" w:rsidRPr="0030232D">
        <w:t xml:space="preserve"> and Sciences</w:t>
      </w:r>
      <w:r w:rsidRPr="0030232D">
        <w:t>, individual students take courses across the academic divisions.  The University will attribute the revenue generated on a per course basis as described under the Humanities division.</w:t>
      </w:r>
    </w:p>
    <w:p w14:paraId="09D4E877" w14:textId="77777777" w:rsidR="00B463A5" w:rsidRPr="00B463A5" w:rsidRDefault="00B463A5" w:rsidP="0030232D">
      <w:r w:rsidRPr="00B463A5">
        <w:t xml:space="preserve">The RCM model is applied to academic operations at the level of divisions and schools, not at the level of individual academic programs or individual professors.  RCM will be managed in a way that recognizes the essential role that teaching non-majors plays in allowing the University to operate, fiscally and academically.  This means that academic programs with small numbers of majors will not be disadvantaged under RCM.  </w:t>
      </w:r>
    </w:p>
    <w:p w14:paraId="47E6D43A" w14:textId="77777777" w:rsidR="00F61CC2" w:rsidRPr="009B215B" w:rsidRDefault="00F61CC2" w:rsidP="0030232D">
      <w:pPr>
        <w:pStyle w:val="Heading2"/>
        <w:rPr>
          <w:b/>
          <w:bCs/>
        </w:rPr>
      </w:pPr>
      <w:r w:rsidRPr="009B215B">
        <w:rPr>
          <w:b/>
          <w:bCs/>
        </w:rPr>
        <w:t>RCM Benchmarks</w:t>
      </w:r>
    </w:p>
    <w:p w14:paraId="7D689B58" w14:textId="77777777" w:rsidR="00655E4C" w:rsidRDefault="00F61CC2" w:rsidP="00A14D9B">
      <w:pPr>
        <w:spacing w:after="240" w:line="240" w:lineRule="auto"/>
        <w:jc w:val="both"/>
        <w:rPr>
          <w:rFonts w:ascii="Arial" w:hAnsi="Arial" w:cs="Arial"/>
          <w:b/>
          <w:color w:val="154734"/>
          <w:sz w:val="32"/>
          <w:szCs w:val="32"/>
        </w:rPr>
      </w:pPr>
      <w:r w:rsidRPr="0030232D">
        <w:t xml:space="preserve">The principles of RCM can be most easily applied to operating units of the University that directly generate revenue as well as costs.  </w:t>
      </w:r>
      <w:proofErr w:type="gramStart"/>
      <w:r w:rsidRPr="0030232D">
        <w:t>This is why</w:t>
      </w:r>
      <w:proofErr w:type="gramEnd"/>
      <w:r w:rsidRPr="0030232D">
        <w:t xml:space="preserve"> academic divisions will be the focus as the University implements RCM.  In tracking the fiscal performance and needs of operating units which do not generate revenue, the University will use other performance-based metrics.  Where there is no clear way to apply RCM, </w:t>
      </w:r>
      <w:r w:rsidR="00653556" w:rsidRPr="0030232D">
        <w:t>the University will assess</w:t>
      </w:r>
      <w:r w:rsidRPr="0030232D">
        <w:t xml:space="preserve"> the performance of such units by using benchmarks that measure the budget expenditures of corresponding units </w:t>
      </w:r>
      <w:r w:rsidR="00653556" w:rsidRPr="0030232D">
        <w:t xml:space="preserve">compared to </w:t>
      </w:r>
      <w:r w:rsidRPr="0030232D">
        <w:t xml:space="preserve">other Ontario universities.  </w:t>
      </w:r>
      <w:r w:rsidR="00653556" w:rsidRPr="0030232D">
        <w:t>For example, when considering new investments for shared services such as</w:t>
      </w:r>
      <w:r w:rsidRPr="0030232D">
        <w:t xml:space="preserve"> library </w:t>
      </w:r>
      <w:r w:rsidR="00653556" w:rsidRPr="0030232D">
        <w:t xml:space="preserve">services </w:t>
      </w:r>
      <w:r w:rsidRPr="0030232D">
        <w:t>or information technology</w:t>
      </w:r>
      <w:r w:rsidR="00653556" w:rsidRPr="0030232D">
        <w:t>,</w:t>
      </w:r>
      <w:r w:rsidRPr="0030232D">
        <w:t xml:space="preserve"> the University will compare the percentage of Trent’s budget devoted to the library and information technology to the percentage expenditures at similar institutions in Ontario</w:t>
      </w:r>
      <w:r>
        <w:rPr>
          <w:rFonts w:ascii="Arial" w:hAnsi="Arial" w:cs="Arial"/>
          <w:sz w:val="24"/>
          <w:szCs w:val="24"/>
        </w:rPr>
        <w:t>.</w:t>
      </w:r>
      <w:r w:rsidR="00655E4C">
        <w:rPr>
          <w:rFonts w:ascii="Arial" w:hAnsi="Arial" w:cs="Arial"/>
          <w:b/>
          <w:color w:val="154734"/>
          <w:sz w:val="32"/>
          <w:szCs w:val="32"/>
        </w:rPr>
        <w:br w:type="page"/>
      </w:r>
    </w:p>
    <w:p w14:paraId="311C7CD9" w14:textId="77777777" w:rsidR="00655E4C" w:rsidRPr="0030232D" w:rsidRDefault="00655E4C" w:rsidP="0030232D">
      <w:pPr>
        <w:pStyle w:val="Heading1"/>
        <w:rPr>
          <w:b/>
          <w:bCs/>
          <w:color w:val="385623" w:themeColor="accent6" w:themeShade="80"/>
        </w:rPr>
      </w:pPr>
      <w:r w:rsidRPr="0030232D">
        <w:rPr>
          <w:b/>
          <w:bCs/>
          <w:color w:val="385623" w:themeColor="accent6" w:themeShade="80"/>
        </w:rPr>
        <w:lastRenderedPageBreak/>
        <w:t xml:space="preserve">THE RCM </w:t>
      </w:r>
      <w:r w:rsidR="00512AC6" w:rsidRPr="0030232D">
        <w:rPr>
          <w:b/>
          <w:bCs/>
          <w:color w:val="385623" w:themeColor="accent6" w:themeShade="80"/>
        </w:rPr>
        <w:t>COMPONENTS</w:t>
      </w:r>
    </w:p>
    <w:p w14:paraId="2CEE70AB" w14:textId="77777777" w:rsidR="00512AC6" w:rsidRPr="0030232D" w:rsidRDefault="00C41BA4" w:rsidP="0030232D">
      <w:pPr>
        <w:pStyle w:val="Heading2"/>
        <w:rPr>
          <w:b/>
          <w:bCs/>
        </w:rPr>
      </w:pPr>
      <w:r w:rsidRPr="0030232D">
        <w:rPr>
          <w:b/>
          <w:bCs/>
        </w:rPr>
        <w:t>Key</w:t>
      </w:r>
      <w:r w:rsidR="00512AC6" w:rsidRPr="0030232D">
        <w:rPr>
          <w:b/>
          <w:bCs/>
        </w:rPr>
        <w:t xml:space="preserve"> Drivers</w:t>
      </w:r>
    </w:p>
    <w:p w14:paraId="52650FCF" w14:textId="77777777" w:rsidR="00C41BA4" w:rsidRDefault="00C41BA4" w:rsidP="0030232D">
      <w:r>
        <w:t xml:space="preserve">The two primary drivers used for the attribution of revenue and the allocation of shared services costs are student enrolment projections and faculty and staff full-time equivalents.  </w:t>
      </w:r>
    </w:p>
    <w:p w14:paraId="0A1C612D" w14:textId="77777777" w:rsidR="00C41BA4" w:rsidRPr="009D10F1" w:rsidRDefault="00C41BA4" w:rsidP="0030232D">
      <w:pPr>
        <w:pStyle w:val="ListParagraph"/>
        <w:numPr>
          <w:ilvl w:val="0"/>
          <w:numId w:val="22"/>
        </w:numPr>
      </w:pPr>
      <w:r w:rsidRPr="0030232D">
        <w:rPr>
          <w:b/>
          <w:color w:val="154734"/>
        </w:rPr>
        <w:t>Student Enrolment</w:t>
      </w:r>
      <w:r w:rsidRPr="009D10F1">
        <w:t xml:space="preserve">: </w:t>
      </w:r>
      <w:r w:rsidRPr="0030232D">
        <w:rPr>
          <w:color w:val="5B7F95"/>
        </w:rPr>
        <w:t xml:space="preserve"> </w:t>
      </w:r>
      <w:r w:rsidR="000C3D11">
        <w:t>The University’s revenue is primarily generated through student enrolment.  Therefore, student enrolment i</w:t>
      </w:r>
      <w:r w:rsidRPr="009D10F1">
        <w:t>s the driver for the attribution of grant and tuition revenue and cost allocations for a portion of Information Technology (IT), Library, Student Services, Student Support, T</w:t>
      </w:r>
      <w:r w:rsidR="000C3D11">
        <w:t xml:space="preserve">rent </w:t>
      </w:r>
      <w:r w:rsidRPr="009D10F1">
        <w:t>I</w:t>
      </w:r>
      <w:r w:rsidR="000C3D11">
        <w:t>nternational (TI)</w:t>
      </w:r>
      <w:r w:rsidRPr="009D10F1">
        <w:t xml:space="preserve"> and Graduate </w:t>
      </w:r>
      <w:r w:rsidR="006F1C8B">
        <w:t>Studies</w:t>
      </w:r>
      <w:r w:rsidRPr="009D10F1">
        <w:t xml:space="preserve">.   </w:t>
      </w:r>
    </w:p>
    <w:p w14:paraId="7DC8C12D" w14:textId="77777777" w:rsidR="00C60E0D" w:rsidRDefault="00C60E0D" w:rsidP="00E376D2">
      <w:pPr>
        <w:pStyle w:val="ListParagraph"/>
        <w:spacing w:after="240" w:line="240" w:lineRule="auto"/>
        <w:jc w:val="both"/>
        <w:rPr>
          <w:rFonts w:ascii="Arial" w:hAnsi="Arial" w:cs="Arial"/>
          <w:sz w:val="24"/>
          <w:szCs w:val="24"/>
        </w:rPr>
      </w:pPr>
    </w:p>
    <w:p w14:paraId="19A7E6A4" w14:textId="77777777" w:rsidR="00C05A1C" w:rsidRDefault="009D10F1" w:rsidP="0030232D">
      <w:r>
        <w:t xml:space="preserve">For the purposes of budget planning, student headcount enrolment projections are converted to full-time equivalents (FTEs) and </w:t>
      </w:r>
      <w:r w:rsidR="00DE6604">
        <w:t xml:space="preserve">eligible enrolment is </w:t>
      </w:r>
      <w:r>
        <w:t>weighted by program and level of study to determine Weighted Grant Units (WGUs)</w:t>
      </w:r>
      <w:r w:rsidR="000C3D11">
        <w:t xml:space="preserve"> which is used to calculate government funding.  </w:t>
      </w:r>
      <w:r w:rsidR="00C05A1C">
        <w:t>The</w:t>
      </w:r>
      <w:r w:rsidR="00502747">
        <w:t xml:space="preserve"> student enrolment projections included in the </w:t>
      </w:r>
      <w:r w:rsidR="00C05A1C">
        <w:t xml:space="preserve">2018/2019 </w:t>
      </w:r>
      <w:r w:rsidR="00502747">
        <w:t>RCM budget</w:t>
      </w:r>
      <w:r w:rsidR="00655190">
        <w:t xml:space="preserve"> (version 2)</w:t>
      </w:r>
      <w:r w:rsidR="00502747">
        <w:t xml:space="preserve"> </w:t>
      </w:r>
      <w:r w:rsidR="00C05A1C">
        <w:t>are as follows:</w:t>
      </w:r>
    </w:p>
    <w:p w14:paraId="5947EED4" w14:textId="77777777" w:rsidR="00DE6604" w:rsidRDefault="00DE6604" w:rsidP="00E376D2">
      <w:pPr>
        <w:pStyle w:val="ListParagraph"/>
        <w:spacing w:after="240" w:line="240" w:lineRule="auto"/>
        <w:jc w:val="both"/>
        <w:rPr>
          <w:rFonts w:ascii="Arial" w:hAnsi="Arial" w:cs="Arial"/>
          <w:sz w:val="24"/>
          <w:szCs w:val="24"/>
        </w:rPr>
      </w:pPr>
    </w:p>
    <w:tbl>
      <w:tblPr>
        <w:tblStyle w:val="TableGrid"/>
        <w:tblW w:w="0" w:type="auto"/>
        <w:tblInd w:w="720" w:type="dxa"/>
        <w:tblLayout w:type="fixed"/>
        <w:tblLook w:val="04A0" w:firstRow="1" w:lastRow="0" w:firstColumn="1" w:lastColumn="0" w:noHBand="0" w:noVBand="1"/>
      </w:tblPr>
      <w:tblGrid>
        <w:gridCol w:w="1351"/>
        <w:gridCol w:w="1213"/>
        <w:gridCol w:w="1213"/>
        <w:gridCol w:w="1213"/>
        <w:gridCol w:w="1213"/>
        <w:gridCol w:w="1213"/>
        <w:gridCol w:w="1214"/>
      </w:tblGrid>
      <w:tr w:rsidR="00DE6604" w:rsidRPr="00DE6604" w14:paraId="4B934810" w14:textId="77777777" w:rsidTr="00DE6604">
        <w:tc>
          <w:tcPr>
            <w:tcW w:w="1351" w:type="dxa"/>
            <w:shd w:val="clear" w:color="auto" w:fill="154734"/>
          </w:tcPr>
          <w:p w14:paraId="37A21F45" w14:textId="77777777" w:rsidR="00DE6604" w:rsidRPr="00DE6604" w:rsidRDefault="00DE6604" w:rsidP="00DE6604">
            <w:pPr>
              <w:pStyle w:val="ListParagraph"/>
              <w:spacing w:line="240" w:lineRule="auto"/>
              <w:ind w:left="0"/>
              <w:jc w:val="both"/>
              <w:rPr>
                <w:rFonts w:ascii="Arial" w:hAnsi="Arial" w:cs="Arial"/>
                <w:b/>
                <w:sz w:val="18"/>
                <w:szCs w:val="18"/>
              </w:rPr>
            </w:pPr>
          </w:p>
        </w:tc>
        <w:tc>
          <w:tcPr>
            <w:tcW w:w="3639" w:type="dxa"/>
            <w:gridSpan w:val="3"/>
            <w:shd w:val="clear" w:color="auto" w:fill="154734"/>
          </w:tcPr>
          <w:p w14:paraId="61967541" w14:textId="77777777" w:rsidR="00DE6604" w:rsidRPr="00DE6604" w:rsidRDefault="00DE6604" w:rsidP="00DE6604">
            <w:pPr>
              <w:pStyle w:val="ListParagraph"/>
              <w:spacing w:line="240" w:lineRule="auto"/>
              <w:ind w:left="0"/>
              <w:jc w:val="center"/>
              <w:rPr>
                <w:rFonts w:ascii="Arial" w:hAnsi="Arial" w:cs="Arial"/>
                <w:b/>
                <w:sz w:val="18"/>
                <w:szCs w:val="18"/>
              </w:rPr>
            </w:pPr>
            <w:r w:rsidRPr="00DE6604">
              <w:rPr>
                <w:rFonts w:ascii="Arial" w:hAnsi="Arial" w:cs="Arial"/>
                <w:b/>
                <w:sz w:val="18"/>
                <w:szCs w:val="18"/>
              </w:rPr>
              <w:t>Full-time Equivalents (FTEs)</w:t>
            </w:r>
          </w:p>
        </w:tc>
        <w:tc>
          <w:tcPr>
            <w:tcW w:w="3640" w:type="dxa"/>
            <w:gridSpan w:val="3"/>
            <w:shd w:val="clear" w:color="auto" w:fill="154734"/>
          </w:tcPr>
          <w:p w14:paraId="641D1AA0" w14:textId="77777777" w:rsidR="00DE6604" w:rsidRPr="00DE6604" w:rsidRDefault="00DE6604" w:rsidP="00DE6604">
            <w:pPr>
              <w:pStyle w:val="ListParagraph"/>
              <w:spacing w:line="240" w:lineRule="auto"/>
              <w:ind w:left="0"/>
              <w:jc w:val="center"/>
              <w:rPr>
                <w:rFonts w:ascii="Arial" w:hAnsi="Arial" w:cs="Arial"/>
                <w:b/>
                <w:sz w:val="18"/>
                <w:szCs w:val="18"/>
              </w:rPr>
            </w:pPr>
            <w:r w:rsidRPr="00DE6604">
              <w:rPr>
                <w:rFonts w:ascii="Arial" w:hAnsi="Arial" w:cs="Arial"/>
                <w:b/>
                <w:sz w:val="18"/>
                <w:szCs w:val="18"/>
              </w:rPr>
              <w:t>Weighted Grant Units (WGUs)</w:t>
            </w:r>
          </w:p>
        </w:tc>
      </w:tr>
      <w:tr w:rsidR="00DE6604" w:rsidRPr="00DE6604" w14:paraId="710DB994" w14:textId="77777777" w:rsidTr="00DE6604">
        <w:tc>
          <w:tcPr>
            <w:tcW w:w="1351" w:type="dxa"/>
            <w:shd w:val="clear" w:color="auto" w:fill="5B7F95"/>
          </w:tcPr>
          <w:p w14:paraId="6C4062C7" w14:textId="77777777" w:rsidR="00DE6604" w:rsidRPr="00DE6604" w:rsidRDefault="00DE6604" w:rsidP="00DE6604">
            <w:pPr>
              <w:pStyle w:val="ListParagraph"/>
              <w:spacing w:line="240" w:lineRule="auto"/>
              <w:ind w:left="0"/>
              <w:jc w:val="both"/>
              <w:rPr>
                <w:rFonts w:ascii="Arial" w:hAnsi="Arial" w:cs="Arial"/>
                <w:b/>
                <w:color w:val="FFFFFF" w:themeColor="background1"/>
                <w:sz w:val="18"/>
                <w:szCs w:val="18"/>
              </w:rPr>
            </w:pPr>
          </w:p>
        </w:tc>
        <w:tc>
          <w:tcPr>
            <w:tcW w:w="1213" w:type="dxa"/>
            <w:shd w:val="clear" w:color="auto" w:fill="5B7F95"/>
          </w:tcPr>
          <w:p w14:paraId="7D1A6BBE"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Undergrad</w:t>
            </w:r>
          </w:p>
        </w:tc>
        <w:tc>
          <w:tcPr>
            <w:tcW w:w="1213" w:type="dxa"/>
            <w:shd w:val="clear" w:color="auto" w:fill="5B7F95"/>
          </w:tcPr>
          <w:p w14:paraId="79A4572C"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Graduate</w:t>
            </w:r>
          </w:p>
        </w:tc>
        <w:tc>
          <w:tcPr>
            <w:tcW w:w="1213" w:type="dxa"/>
            <w:shd w:val="clear" w:color="auto" w:fill="5B7F95"/>
          </w:tcPr>
          <w:p w14:paraId="30B13CA1"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Total</w:t>
            </w:r>
          </w:p>
        </w:tc>
        <w:tc>
          <w:tcPr>
            <w:tcW w:w="1213" w:type="dxa"/>
            <w:shd w:val="clear" w:color="auto" w:fill="5B7F95"/>
          </w:tcPr>
          <w:p w14:paraId="1A6FB9E4"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Undergrad</w:t>
            </w:r>
          </w:p>
        </w:tc>
        <w:tc>
          <w:tcPr>
            <w:tcW w:w="1213" w:type="dxa"/>
            <w:shd w:val="clear" w:color="auto" w:fill="5B7F95"/>
          </w:tcPr>
          <w:p w14:paraId="4B3B2BA8"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Graduate</w:t>
            </w:r>
          </w:p>
        </w:tc>
        <w:tc>
          <w:tcPr>
            <w:tcW w:w="1214" w:type="dxa"/>
            <w:shd w:val="clear" w:color="auto" w:fill="5B7F95"/>
          </w:tcPr>
          <w:p w14:paraId="38069EFA" w14:textId="77777777" w:rsidR="00DE6604" w:rsidRPr="00DE6604" w:rsidRDefault="00DE6604" w:rsidP="00DE6604">
            <w:pPr>
              <w:pStyle w:val="ListParagraph"/>
              <w:spacing w:line="240" w:lineRule="auto"/>
              <w:ind w:left="0"/>
              <w:jc w:val="center"/>
              <w:rPr>
                <w:rFonts w:ascii="Arial" w:hAnsi="Arial" w:cs="Arial"/>
                <w:b/>
                <w:color w:val="FFFFFF" w:themeColor="background1"/>
                <w:sz w:val="18"/>
                <w:szCs w:val="18"/>
              </w:rPr>
            </w:pPr>
            <w:r w:rsidRPr="001B40EE">
              <w:rPr>
                <w:rFonts w:ascii="Arial" w:hAnsi="Arial" w:cs="Arial"/>
                <w:b/>
                <w:sz w:val="18"/>
                <w:szCs w:val="18"/>
              </w:rPr>
              <w:t>Total</w:t>
            </w:r>
          </w:p>
        </w:tc>
      </w:tr>
      <w:tr w:rsidR="00DE6604" w14:paraId="42C5FEFB" w14:textId="77777777" w:rsidTr="00DE6604">
        <w:tc>
          <w:tcPr>
            <w:tcW w:w="1351" w:type="dxa"/>
          </w:tcPr>
          <w:p w14:paraId="36955E06"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Durham</w:t>
            </w:r>
          </w:p>
        </w:tc>
        <w:tc>
          <w:tcPr>
            <w:tcW w:w="1213" w:type="dxa"/>
          </w:tcPr>
          <w:p w14:paraId="1B44DE61"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1,032.90</w:t>
            </w:r>
          </w:p>
        </w:tc>
        <w:tc>
          <w:tcPr>
            <w:tcW w:w="1213" w:type="dxa"/>
          </w:tcPr>
          <w:p w14:paraId="3C13ECAE" w14:textId="77777777" w:rsidR="00DE6604" w:rsidRPr="00DE6604" w:rsidRDefault="00DE6604" w:rsidP="000C3D11">
            <w:pPr>
              <w:pStyle w:val="ListParagraph"/>
              <w:spacing w:after="120" w:line="240" w:lineRule="auto"/>
              <w:ind w:left="0"/>
              <w:jc w:val="right"/>
              <w:rPr>
                <w:rFonts w:ascii="Arial" w:hAnsi="Arial" w:cs="Arial"/>
                <w:sz w:val="18"/>
                <w:szCs w:val="18"/>
              </w:rPr>
            </w:pPr>
          </w:p>
        </w:tc>
        <w:tc>
          <w:tcPr>
            <w:tcW w:w="1213" w:type="dxa"/>
          </w:tcPr>
          <w:p w14:paraId="636BA6F3"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1,032.90</w:t>
            </w:r>
          </w:p>
        </w:tc>
        <w:tc>
          <w:tcPr>
            <w:tcW w:w="1213" w:type="dxa"/>
          </w:tcPr>
          <w:p w14:paraId="33F0AD04"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1,710.25</w:t>
            </w:r>
          </w:p>
        </w:tc>
        <w:tc>
          <w:tcPr>
            <w:tcW w:w="1213" w:type="dxa"/>
          </w:tcPr>
          <w:p w14:paraId="332A4C25" w14:textId="77777777" w:rsidR="00DE6604" w:rsidRPr="00DE6604" w:rsidRDefault="00DE6604" w:rsidP="000C3D11">
            <w:pPr>
              <w:pStyle w:val="ListParagraph"/>
              <w:spacing w:after="120" w:line="240" w:lineRule="auto"/>
              <w:ind w:left="0"/>
              <w:jc w:val="right"/>
              <w:rPr>
                <w:rFonts w:ascii="Arial" w:hAnsi="Arial" w:cs="Arial"/>
                <w:sz w:val="18"/>
                <w:szCs w:val="18"/>
              </w:rPr>
            </w:pPr>
          </w:p>
        </w:tc>
        <w:tc>
          <w:tcPr>
            <w:tcW w:w="1214" w:type="dxa"/>
          </w:tcPr>
          <w:p w14:paraId="78B7EB2C"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1,710.25</w:t>
            </w:r>
          </w:p>
        </w:tc>
      </w:tr>
      <w:tr w:rsidR="00DE6604" w14:paraId="53DF2B8C" w14:textId="77777777" w:rsidTr="00DE6604">
        <w:tc>
          <w:tcPr>
            <w:tcW w:w="1351" w:type="dxa"/>
          </w:tcPr>
          <w:p w14:paraId="40D3B0BC"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Education</w:t>
            </w:r>
          </w:p>
        </w:tc>
        <w:tc>
          <w:tcPr>
            <w:tcW w:w="1213" w:type="dxa"/>
          </w:tcPr>
          <w:p w14:paraId="142FF610"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281.55</w:t>
            </w:r>
          </w:p>
        </w:tc>
        <w:tc>
          <w:tcPr>
            <w:tcW w:w="1213" w:type="dxa"/>
          </w:tcPr>
          <w:p w14:paraId="0EFF8E85"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13.80</w:t>
            </w:r>
          </w:p>
        </w:tc>
        <w:tc>
          <w:tcPr>
            <w:tcW w:w="1213" w:type="dxa"/>
          </w:tcPr>
          <w:p w14:paraId="7D0B3B76"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295.</w:t>
            </w:r>
            <w:r w:rsidR="006F7BEF">
              <w:rPr>
                <w:rFonts w:ascii="Arial" w:hAnsi="Arial" w:cs="Arial"/>
                <w:sz w:val="18"/>
                <w:szCs w:val="18"/>
              </w:rPr>
              <w:t>35</w:t>
            </w:r>
          </w:p>
        </w:tc>
        <w:tc>
          <w:tcPr>
            <w:tcW w:w="1213" w:type="dxa"/>
          </w:tcPr>
          <w:p w14:paraId="32F51215"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520.21</w:t>
            </w:r>
          </w:p>
        </w:tc>
        <w:tc>
          <w:tcPr>
            <w:tcW w:w="1213" w:type="dxa"/>
          </w:tcPr>
          <w:p w14:paraId="7EC37EF9" w14:textId="77777777" w:rsidR="00DE6604" w:rsidRPr="00DE6604" w:rsidRDefault="00DE6604" w:rsidP="000C3D11">
            <w:pPr>
              <w:pStyle w:val="ListParagraph"/>
              <w:spacing w:after="120" w:line="240" w:lineRule="auto"/>
              <w:ind w:left="0"/>
              <w:jc w:val="right"/>
              <w:rPr>
                <w:rFonts w:ascii="Arial" w:hAnsi="Arial" w:cs="Arial"/>
                <w:sz w:val="18"/>
                <w:szCs w:val="18"/>
              </w:rPr>
            </w:pPr>
          </w:p>
        </w:tc>
        <w:tc>
          <w:tcPr>
            <w:tcW w:w="1214" w:type="dxa"/>
          </w:tcPr>
          <w:p w14:paraId="2CEB245F"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520.21</w:t>
            </w:r>
          </w:p>
        </w:tc>
      </w:tr>
      <w:tr w:rsidR="00DE6604" w14:paraId="1E38B3CB" w14:textId="77777777" w:rsidTr="00DE6604">
        <w:tc>
          <w:tcPr>
            <w:tcW w:w="1351" w:type="dxa"/>
          </w:tcPr>
          <w:p w14:paraId="33968E4D"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Nursing</w:t>
            </w:r>
          </w:p>
        </w:tc>
        <w:tc>
          <w:tcPr>
            <w:tcW w:w="1213" w:type="dxa"/>
          </w:tcPr>
          <w:p w14:paraId="31DDDDCA"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770.97</w:t>
            </w:r>
          </w:p>
        </w:tc>
        <w:tc>
          <w:tcPr>
            <w:tcW w:w="1213" w:type="dxa"/>
          </w:tcPr>
          <w:p w14:paraId="2792629B" w14:textId="77777777" w:rsidR="00DE6604" w:rsidRPr="00DE6604" w:rsidRDefault="00DE6604" w:rsidP="000C3D11">
            <w:pPr>
              <w:pStyle w:val="ListParagraph"/>
              <w:spacing w:after="120" w:line="240" w:lineRule="auto"/>
              <w:ind w:left="0"/>
              <w:jc w:val="right"/>
              <w:rPr>
                <w:rFonts w:ascii="Arial" w:hAnsi="Arial" w:cs="Arial"/>
                <w:sz w:val="18"/>
                <w:szCs w:val="18"/>
              </w:rPr>
            </w:pPr>
          </w:p>
        </w:tc>
        <w:tc>
          <w:tcPr>
            <w:tcW w:w="1213" w:type="dxa"/>
          </w:tcPr>
          <w:p w14:paraId="35DD8E14"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770.97</w:t>
            </w:r>
          </w:p>
        </w:tc>
        <w:tc>
          <w:tcPr>
            <w:tcW w:w="1213" w:type="dxa"/>
          </w:tcPr>
          <w:p w14:paraId="0FA070D5"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2,116.35</w:t>
            </w:r>
          </w:p>
        </w:tc>
        <w:tc>
          <w:tcPr>
            <w:tcW w:w="1213" w:type="dxa"/>
          </w:tcPr>
          <w:p w14:paraId="19154D82" w14:textId="77777777" w:rsidR="00DE6604" w:rsidRPr="00DE6604" w:rsidRDefault="00DE6604" w:rsidP="000C3D11">
            <w:pPr>
              <w:pStyle w:val="ListParagraph"/>
              <w:spacing w:after="120" w:line="240" w:lineRule="auto"/>
              <w:ind w:left="0"/>
              <w:jc w:val="right"/>
              <w:rPr>
                <w:rFonts w:ascii="Arial" w:hAnsi="Arial" w:cs="Arial"/>
                <w:sz w:val="18"/>
                <w:szCs w:val="18"/>
              </w:rPr>
            </w:pPr>
          </w:p>
        </w:tc>
        <w:tc>
          <w:tcPr>
            <w:tcW w:w="1214" w:type="dxa"/>
          </w:tcPr>
          <w:p w14:paraId="614B3B8E"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2,116.35</w:t>
            </w:r>
          </w:p>
        </w:tc>
      </w:tr>
      <w:tr w:rsidR="00DE6604" w14:paraId="24370F67" w14:textId="77777777" w:rsidTr="00DE6604">
        <w:tc>
          <w:tcPr>
            <w:tcW w:w="1351" w:type="dxa"/>
          </w:tcPr>
          <w:p w14:paraId="00563A3B"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Humanities</w:t>
            </w:r>
          </w:p>
        </w:tc>
        <w:tc>
          <w:tcPr>
            <w:tcW w:w="1213" w:type="dxa"/>
          </w:tcPr>
          <w:p w14:paraId="0704A7DA"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1,420.12</w:t>
            </w:r>
          </w:p>
        </w:tc>
        <w:tc>
          <w:tcPr>
            <w:tcW w:w="1213" w:type="dxa"/>
          </w:tcPr>
          <w:p w14:paraId="58A8156F"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78.40</w:t>
            </w:r>
          </w:p>
        </w:tc>
        <w:tc>
          <w:tcPr>
            <w:tcW w:w="1213" w:type="dxa"/>
          </w:tcPr>
          <w:p w14:paraId="434B373B"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1,498.5</w:t>
            </w:r>
            <w:r w:rsidR="006F7BEF">
              <w:rPr>
                <w:rFonts w:ascii="Arial" w:hAnsi="Arial" w:cs="Arial"/>
                <w:sz w:val="18"/>
                <w:szCs w:val="18"/>
              </w:rPr>
              <w:t>2</w:t>
            </w:r>
          </w:p>
        </w:tc>
        <w:tc>
          <w:tcPr>
            <w:tcW w:w="1213" w:type="dxa"/>
          </w:tcPr>
          <w:p w14:paraId="37929CEA"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2,293.30</w:t>
            </w:r>
          </w:p>
        </w:tc>
        <w:tc>
          <w:tcPr>
            <w:tcW w:w="1213" w:type="dxa"/>
          </w:tcPr>
          <w:p w14:paraId="0E9A859E"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353.43</w:t>
            </w:r>
          </w:p>
        </w:tc>
        <w:tc>
          <w:tcPr>
            <w:tcW w:w="1214" w:type="dxa"/>
          </w:tcPr>
          <w:p w14:paraId="5904B23F"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2,646.73</w:t>
            </w:r>
          </w:p>
        </w:tc>
      </w:tr>
      <w:tr w:rsidR="00DE6604" w14:paraId="575D3013" w14:textId="77777777" w:rsidTr="00DE6604">
        <w:tc>
          <w:tcPr>
            <w:tcW w:w="1351" w:type="dxa"/>
          </w:tcPr>
          <w:p w14:paraId="6F56A733"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Science</w:t>
            </w:r>
          </w:p>
        </w:tc>
        <w:tc>
          <w:tcPr>
            <w:tcW w:w="1213" w:type="dxa"/>
          </w:tcPr>
          <w:p w14:paraId="6A5945FD"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3,376.33</w:t>
            </w:r>
          </w:p>
        </w:tc>
        <w:tc>
          <w:tcPr>
            <w:tcW w:w="1213" w:type="dxa"/>
          </w:tcPr>
          <w:p w14:paraId="7DDEDB7D"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291.40</w:t>
            </w:r>
          </w:p>
        </w:tc>
        <w:tc>
          <w:tcPr>
            <w:tcW w:w="1213" w:type="dxa"/>
          </w:tcPr>
          <w:p w14:paraId="69974FC8"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3,667.7</w:t>
            </w:r>
            <w:r w:rsidR="006F7BEF">
              <w:rPr>
                <w:rFonts w:ascii="Arial" w:hAnsi="Arial" w:cs="Arial"/>
                <w:sz w:val="18"/>
                <w:szCs w:val="18"/>
              </w:rPr>
              <w:t>3</w:t>
            </w:r>
          </w:p>
        </w:tc>
        <w:tc>
          <w:tcPr>
            <w:tcW w:w="1213" w:type="dxa"/>
          </w:tcPr>
          <w:p w14:paraId="6CDC91C8"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6,543.57</w:t>
            </w:r>
          </w:p>
        </w:tc>
        <w:tc>
          <w:tcPr>
            <w:tcW w:w="1213" w:type="dxa"/>
          </w:tcPr>
          <w:p w14:paraId="64D19599"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994.24</w:t>
            </w:r>
          </w:p>
        </w:tc>
        <w:tc>
          <w:tcPr>
            <w:tcW w:w="1214" w:type="dxa"/>
          </w:tcPr>
          <w:p w14:paraId="5764F6CE"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7,537.81</w:t>
            </w:r>
          </w:p>
        </w:tc>
      </w:tr>
      <w:tr w:rsidR="00DE6604" w14:paraId="0CCE7444" w14:textId="77777777" w:rsidTr="00DE6604">
        <w:tc>
          <w:tcPr>
            <w:tcW w:w="1351" w:type="dxa"/>
          </w:tcPr>
          <w:p w14:paraId="2D0A30AE" w14:textId="77777777" w:rsidR="00DE6604" w:rsidRPr="00DE6604" w:rsidRDefault="00DE6604" w:rsidP="000C3D11">
            <w:pPr>
              <w:pStyle w:val="ListParagraph"/>
              <w:spacing w:after="120" w:line="240" w:lineRule="auto"/>
              <w:ind w:left="0"/>
              <w:jc w:val="both"/>
              <w:rPr>
                <w:rFonts w:ascii="Arial" w:hAnsi="Arial" w:cs="Arial"/>
                <w:sz w:val="18"/>
                <w:szCs w:val="18"/>
              </w:rPr>
            </w:pPr>
            <w:r w:rsidRPr="00DE6604">
              <w:rPr>
                <w:rFonts w:ascii="Arial" w:hAnsi="Arial" w:cs="Arial"/>
                <w:sz w:val="18"/>
                <w:szCs w:val="18"/>
              </w:rPr>
              <w:t>Social Science</w:t>
            </w:r>
          </w:p>
        </w:tc>
        <w:tc>
          <w:tcPr>
            <w:tcW w:w="1213" w:type="dxa"/>
          </w:tcPr>
          <w:p w14:paraId="7AFA4CA3"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1,912.3</w:t>
            </w:r>
            <w:r w:rsidR="006F7BEF">
              <w:rPr>
                <w:rFonts w:ascii="Arial" w:hAnsi="Arial" w:cs="Arial"/>
                <w:sz w:val="18"/>
                <w:szCs w:val="18"/>
              </w:rPr>
              <w:t>3</w:t>
            </w:r>
          </w:p>
        </w:tc>
        <w:tc>
          <w:tcPr>
            <w:tcW w:w="1213" w:type="dxa"/>
          </w:tcPr>
          <w:p w14:paraId="6F5B09B7"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76.40</w:t>
            </w:r>
          </w:p>
        </w:tc>
        <w:tc>
          <w:tcPr>
            <w:tcW w:w="1213" w:type="dxa"/>
          </w:tcPr>
          <w:p w14:paraId="12909F1B"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1,988.7</w:t>
            </w:r>
            <w:r w:rsidR="006F7BEF">
              <w:rPr>
                <w:rFonts w:ascii="Arial" w:hAnsi="Arial" w:cs="Arial"/>
                <w:sz w:val="18"/>
                <w:szCs w:val="18"/>
              </w:rPr>
              <w:t>3</w:t>
            </w:r>
          </w:p>
        </w:tc>
        <w:tc>
          <w:tcPr>
            <w:tcW w:w="1213" w:type="dxa"/>
          </w:tcPr>
          <w:p w14:paraId="51347865"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3,043.4</w:t>
            </w:r>
            <w:r w:rsidR="006F7BEF">
              <w:rPr>
                <w:rFonts w:ascii="Arial" w:hAnsi="Arial" w:cs="Arial"/>
                <w:sz w:val="18"/>
                <w:szCs w:val="18"/>
              </w:rPr>
              <w:t>9</w:t>
            </w:r>
          </w:p>
        </w:tc>
        <w:tc>
          <w:tcPr>
            <w:tcW w:w="1213" w:type="dxa"/>
          </w:tcPr>
          <w:p w14:paraId="64FB8D43" w14:textId="77777777" w:rsidR="00DE6604" w:rsidRPr="00DE6604" w:rsidRDefault="00DE6604" w:rsidP="000C3D11">
            <w:pPr>
              <w:pStyle w:val="ListParagraph"/>
              <w:spacing w:after="120" w:line="240" w:lineRule="auto"/>
              <w:ind w:left="0"/>
              <w:jc w:val="right"/>
              <w:rPr>
                <w:rFonts w:ascii="Arial" w:hAnsi="Arial" w:cs="Arial"/>
                <w:sz w:val="18"/>
                <w:szCs w:val="18"/>
              </w:rPr>
            </w:pPr>
            <w:r>
              <w:rPr>
                <w:rFonts w:ascii="Arial" w:hAnsi="Arial" w:cs="Arial"/>
                <w:sz w:val="18"/>
                <w:szCs w:val="18"/>
              </w:rPr>
              <w:t>258.86</w:t>
            </w:r>
          </w:p>
        </w:tc>
        <w:tc>
          <w:tcPr>
            <w:tcW w:w="1214" w:type="dxa"/>
          </w:tcPr>
          <w:p w14:paraId="216723A0" w14:textId="77777777" w:rsidR="00DE6604" w:rsidRPr="00DE6604" w:rsidRDefault="006F7BEF" w:rsidP="000C3D11">
            <w:pPr>
              <w:pStyle w:val="ListParagraph"/>
              <w:spacing w:after="120" w:line="240" w:lineRule="auto"/>
              <w:ind w:left="0"/>
              <w:jc w:val="right"/>
              <w:rPr>
                <w:rFonts w:ascii="Arial" w:hAnsi="Arial" w:cs="Arial"/>
                <w:sz w:val="18"/>
                <w:szCs w:val="18"/>
              </w:rPr>
            </w:pPr>
            <w:r>
              <w:rPr>
                <w:rFonts w:ascii="Arial" w:hAnsi="Arial" w:cs="Arial"/>
                <w:sz w:val="18"/>
                <w:szCs w:val="18"/>
              </w:rPr>
              <w:t>3,302.35</w:t>
            </w:r>
          </w:p>
        </w:tc>
      </w:tr>
      <w:tr w:rsidR="00DE6604" w:rsidRPr="00DE6604" w14:paraId="241B9506" w14:textId="77777777" w:rsidTr="00DE6604">
        <w:tc>
          <w:tcPr>
            <w:tcW w:w="1351" w:type="dxa"/>
          </w:tcPr>
          <w:p w14:paraId="674EFE96" w14:textId="77777777" w:rsidR="00DE6604" w:rsidRPr="00DE6604" w:rsidRDefault="00DE6604" w:rsidP="000C3D11">
            <w:pPr>
              <w:pStyle w:val="ListParagraph"/>
              <w:spacing w:after="120" w:line="240" w:lineRule="auto"/>
              <w:ind w:left="0"/>
              <w:jc w:val="both"/>
              <w:rPr>
                <w:rFonts w:ascii="Arial" w:hAnsi="Arial" w:cs="Arial"/>
                <w:b/>
                <w:sz w:val="18"/>
                <w:szCs w:val="18"/>
              </w:rPr>
            </w:pPr>
            <w:r w:rsidRPr="00DE6604">
              <w:rPr>
                <w:rFonts w:ascii="Arial" w:hAnsi="Arial" w:cs="Arial"/>
                <w:b/>
                <w:sz w:val="18"/>
                <w:szCs w:val="18"/>
              </w:rPr>
              <w:t>Total</w:t>
            </w:r>
          </w:p>
        </w:tc>
        <w:tc>
          <w:tcPr>
            <w:tcW w:w="1213" w:type="dxa"/>
          </w:tcPr>
          <w:p w14:paraId="5C89AEEF" w14:textId="77777777" w:rsidR="00DE6604" w:rsidRPr="00DE6604" w:rsidRDefault="00DE6604" w:rsidP="000C3D11">
            <w:pPr>
              <w:pStyle w:val="ListParagraph"/>
              <w:spacing w:after="120" w:line="240" w:lineRule="auto"/>
              <w:ind w:left="0"/>
              <w:jc w:val="right"/>
              <w:rPr>
                <w:rFonts w:ascii="Arial" w:hAnsi="Arial" w:cs="Arial"/>
                <w:b/>
                <w:sz w:val="18"/>
                <w:szCs w:val="18"/>
              </w:rPr>
            </w:pPr>
            <w:r w:rsidRPr="00DE6604">
              <w:rPr>
                <w:rFonts w:ascii="Arial" w:hAnsi="Arial" w:cs="Arial"/>
                <w:b/>
                <w:sz w:val="18"/>
                <w:szCs w:val="18"/>
              </w:rPr>
              <w:t>8,794.20</w:t>
            </w:r>
          </w:p>
        </w:tc>
        <w:tc>
          <w:tcPr>
            <w:tcW w:w="1213" w:type="dxa"/>
          </w:tcPr>
          <w:p w14:paraId="2908FCFD" w14:textId="77777777" w:rsidR="00DE6604" w:rsidRPr="00DE6604" w:rsidRDefault="00DE6604" w:rsidP="000C3D11">
            <w:pPr>
              <w:pStyle w:val="ListParagraph"/>
              <w:spacing w:after="120" w:line="240" w:lineRule="auto"/>
              <w:ind w:left="0"/>
              <w:jc w:val="right"/>
              <w:rPr>
                <w:rFonts w:ascii="Arial" w:hAnsi="Arial" w:cs="Arial"/>
                <w:b/>
                <w:sz w:val="18"/>
                <w:szCs w:val="18"/>
              </w:rPr>
            </w:pPr>
            <w:r w:rsidRPr="00DE6604">
              <w:rPr>
                <w:rFonts w:ascii="Arial" w:hAnsi="Arial" w:cs="Arial"/>
                <w:b/>
                <w:sz w:val="18"/>
                <w:szCs w:val="18"/>
              </w:rPr>
              <w:t>460.00</w:t>
            </w:r>
          </w:p>
        </w:tc>
        <w:tc>
          <w:tcPr>
            <w:tcW w:w="1213" w:type="dxa"/>
          </w:tcPr>
          <w:p w14:paraId="58DE3A8B" w14:textId="77777777" w:rsidR="00DE6604" w:rsidRPr="00DE6604" w:rsidRDefault="00DE6604" w:rsidP="000C3D11">
            <w:pPr>
              <w:pStyle w:val="ListParagraph"/>
              <w:spacing w:after="120" w:line="240" w:lineRule="auto"/>
              <w:ind w:left="0"/>
              <w:jc w:val="right"/>
              <w:rPr>
                <w:rFonts w:ascii="Arial" w:hAnsi="Arial" w:cs="Arial"/>
                <w:b/>
                <w:sz w:val="18"/>
                <w:szCs w:val="18"/>
              </w:rPr>
            </w:pPr>
            <w:r w:rsidRPr="00DE6604">
              <w:rPr>
                <w:rFonts w:ascii="Arial" w:hAnsi="Arial" w:cs="Arial"/>
                <w:b/>
                <w:sz w:val="18"/>
                <w:szCs w:val="18"/>
              </w:rPr>
              <w:t>9,254.20</w:t>
            </w:r>
          </w:p>
        </w:tc>
        <w:tc>
          <w:tcPr>
            <w:tcW w:w="1213" w:type="dxa"/>
          </w:tcPr>
          <w:p w14:paraId="6078CF05" w14:textId="77777777" w:rsidR="00DE6604" w:rsidRPr="00DE6604" w:rsidRDefault="00DE6604" w:rsidP="000C3D11">
            <w:pPr>
              <w:pStyle w:val="ListParagraph"/>
              <w:spacing w:after="120" w:line="240" w:lineRule="auto"/>
              <w:ind w:left="0"/>
              <w:jc w:val="right"/>
              <w:rPr>
                <w:rFonts w:ascii="Arial" w:hAnsi="Arial" w:cs="Arial"/>
                <w:b/>
                <w:sz w:val="18"/>
                <w:szCs w:val="18"/>
              </w:rPr>
            </w:pPr>
            <w:r>
              <w:rPr>
                <w:rFonts w:ascii="Arial" w:hAnsi="Arial" w:cs="Arial"/>
                <w:b/>
                <w:sz w:val="18"/>
                <w:szCs w:val="18"/>
              </w:rPr>
              <w:t>16,227.17</w:t>
            </w:r>
          </w:p>
        </w:tc>
        <w:tc>
          <w:tcPr>
            <w:tcW w:w="1213" w:type="dxa"/>
          </w:tcPr>
          <w:p w14:paraId="15AADB92" w14:textId="77777777" w:rsidR="00DE6604" w:rsidRPr="00DE6604" w:rsidRDefault="00DE6604" w:rsidP="000C3D11">
            <w:pPr>
              <w:pStyle w:val="ListParagraph"/>
              <w:spacing w:after="120" w:line="240" w:lineRule="auto"/>
              <w:ind w:left="0"/>
              <w:jc w:val="right"/>
              <w:rPr>
                <w:rFonts w:ascii="Arial" w:hAnsi="Arial" w:cs="Arial"/>
                <w:b/>
                <w:sz w:val="18"/>
                <w:szCs w:val="18"/>
              </w:rPr>
            </w:pPr>
            <w:r>
              <w:rPr>
                <w:rFonts w:ascii="Arial" w:hAnsi="Arial" w:cs="Arial"/>
                <w:b/>
                <w:sz w:val="18"/>
                <w:szCs w:val="18"/>
              </w:rPr>
              <w:t>1,606.53</w:t>
            </w:r>
          </w:p>
        </w:tc>
        <w:tc>
          <w:tcPr>
            <w:tcW w:w="1214" w:type="dxa"/>
          </w:tcPr>
          <w:p w14:paraId="56B620F7" w14:textId="77777777" w:rsidR="00DE6604" w:rsidRPr="00DE6604" w:rsidRDefault="00DE6604" w:rsidP="000C3D11">
            <w:pPr>
              <w:pStyle w:val="ListParagraph"/>
              <w:spacing w:after="120" w:line="240" w:lineRule="auto"/>
              <w:ind w:left="0"/>
              <w:jc w:val="right"/>
              <w:rPr>
                <w:rFonts w:ascii="Arial" w:hAnsi="Arial" w:cs="Arial"/>
                <w:b/>
                <w:sz w:val="18"/>
                <w:szCs w:val="18"/>
              </w:rPr>
            </w:pPr>
            <w:r>
              <w:rPr>
                <w:rFonts w:ascii="Arial" w:hAnsi="Arial" w:cs="Arial"/>
                <w:b/>
                <w:sz w:val="18"/>
                <w:szCs w:val="18"/>
              </w:rPr>
              <w:t>17,833.70</w:t>
            </w:r>
          </w:p>
        </w:tc>
      </w:tr>
    </w:tbl>
    <w:p w14:paraId="5130D33B" w14:textId="77777777" w:rsidR="00DE6604" w:rsidRDefault="00DE6604" w:rsidP="00C60E0D">
      <w:pPr>
        <w:pStyle w:val="ListParagraph"/>
        <w:spacing w:line="240" w:lineRule="auto"/>
        <w:jc w:val="both"/>
        <w:rPr>
          <w:rFonts w:ascii="Arial" w:hAnsi="Arial" w:cs="Arial"/>
          <w:sz w:val="24"/>
          <w:szCs w:val="24"/>
        </w:rPr>
      </w:pPr>
      <w:r>
        <w:rPr>
          <w:rFonts w:ascii="Arial" w:hAnsi="Arial" w:cs="Arial"/>
          <w:noProof/>
          <w:sz w:val="24"/>
          <w:szCs w:val="24"/>
          <w:lang w:val="en-US" w:eastAsia="en-US"/>
        </w:rPr>
        <w:drawing>
          <wp:anchor distT="0" distB="0" distL="114300" distR="114300" simplePos="0" relativeHeight="251670528" behindDoc="1" locked="0" layoutInCell="1" allowOverlap="1" wp14:anchorId="31CCF6D6" wp14:editId="5E36A2D3">
            <wp:simplePos x="0" y="0"/>
            <wp:positionH relativeFrom="margin">
              <wp:align>right</wp:align>
            </wp:positionH>
            <wp:positionV relativeFrom="paragraph">
              <wp:posOffset>225819</wp:posOffset>
            </wp:positionV>
            <wp:extent cx="2577465" cy="2183130"/>
            <wp:effectExtent l="0" t="0" r="0" b="7620"/>
            <wp:wrapTight wrapText="bothSides">
              <wp:wrapPolygon edited="0">
                <wp:start x="0" y="0"/>
                <wp:lineTo x="0" y="21487"/>
                <wp:lineTo x="21392" y="21487"/>
                <wp:lineTo x="21392" y="0"/>
                <wp:lineTo x="0" y="0"/>
              </wp:wrapPolygon>
            </wp:wrapTight>
            <wp:docPr id="15" name="Char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Arial" w:hAnsi="Arial" w:cs="Arial"/>
          <w:noProof/>
          <w:sz w:val="24"/>
          <w:szCs w:val="24"/>
          <w:lang w:val="en-US" w:eastAsia="en-US"/>
        </w:rPr>
        <w:drawing>
          <wp:anchor distT="0" distB="0" distL="114300" distR="114300" simplePos="0" relativeHeight="251668480" behindDoc="1" locked="0" layoutInCell="1" allowOverlap="1" wp14:anchorId="1BA52202" wp14:editId="71117268">
            <wp:simplePos x="0" y="0"/>
            <wp:positionH relativeFrom="margin">
              <wp:posOffset>457200</wp:posOffset>
            </wp:positionH>
            <wp:positionV relativeFrom="paragraph">
              <wp:posOffset>194310</wp:posOffset>
            </wp:positionV>
            <wp:extent cx="2553970" cy="2183130"/>
            <wp:effectExtent l="0" t="0" r="0" b="7620"/>
            <wp:wrapTight wrapText="bothSides">
              <wp:wrapPolygon edited="0">
                <wp:start x="0" y="0"/>
                <wp:lineTo x="0" y="21487"/>
                <wp:lineTo x="21428" y="21487"/>
                <wp:lineTo x="21428" y="0"/>
                <wp:lineTo x="0" y="0"/>
              </wp:wrapPolygon>
            </wp:wrapTight>
            <wp:docPr id="14" name="Char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9246648" w14:textId="528501F0" w:rsidR="00C41BA4" w:rsidRDefault="0030232D" w:rsidP="0030232D">
      <w:pPr>
        <w:pStyle w:val="ListParagraph"/>
        <w:numPr>
          <w:ilvl w:val="0"/>
          <w:numId w:val="23"/>
        </w:numPr>
      </w:pPr>
      <w:r w:rsidRPr="0030232D">
        <w:rPr>
          <w:b/>
          <w:color w:val="154734"/>
        </w:rPr>
        <w:t>1.</w:t>
      </w:r>
      <w:r w:rsidR="00C41BA4" w:rsidRPr="0030232D">
        <w:rPr>
          <w:b/>
          <w:color w:val="154734"/>
        </w:rPr>
        <w:t>Faculty and Staff Full-time Equivalents</w:t>
      </w:r>
      <w:r w:rsidR="00C41BA4">
        <w:t xml:space="preserve">:  </w:t>
      </w:r>
      <w:r w:rsidR="00502747">
        <w:t xml:space="preserve">As staffing costs represent </w:t>
      </w:r>
      <w:proofErr w:type="gramStart"/>
      <w:r w:rsidR="00502747">
        <w:t>the majority of</w:t>
      </w:r>
      <w:proofErr w:type="gramEnd"/>
      <w:r w:rsidR="00502747">
        <w:t xml:space="preserve"> the University’s costs, f</w:t>
      </w:r>
      <w:r w:rsidR="00C41BA4" w:rsidRPr="00C41BA4">
        <w:t xml:space="preserve">aculty and staff full-time </w:t>
      </w:r>
      <w:r w:rsidR="00C41BA4" w:rsidRPr="00C41BA4">
        <w:lastRenderedPageBreak/>
        <w:t xml:space="preserve">equivalents are used as the cost driver for a portion of IT costs, Human Resources and Pension Special Payments.  </w:t>
      </w:r>
    </w:p>
    <w:p w14:paraId="6474CEEA" w14:textId="77777777" w:rsidR="00502747" w:rsidRPr="00502747" w:rsidRDefault="00502747" w:rsidP="0030232D"/>
    <w:p w14:paraId="7032E363" w14:textId="77777777" w:rsidR="00502747" w:rsidRDefault="00502747" w:rsidP="0030232D">
      <w:r w:rsidRPr="00502747">
        <w:t xml:space="preserve">The </w:t>
      </w:r>
      <w:r>
        <w:t xml:space="preserve">faculty and staff full-time equivalents (excluding administrative staff) projected in the 2018/2019 RCM budget </w:t>
      </w:r>
      <w:r w:rsidR="00655190">
        <w:t xml:space="preserve">(version 2) </w:t>
      </w:r>
      <w:r>
        <w:t>are as follows:</w:t>
      </w:r>
    </w:p>
    <w:p w14:paraId="6B4A3AE2" w14:textId="77777777" w:rsidR="00502747" w:rsidRDefault="002E7D81" w:rsidP="00502747">
      <w:pPr>
        <w:pStyle w:val="ListParagraph"/>
        <w:spacing w:after="0" w:line="240" w:lineRule="auto"/>
        <w:jc w:val="both"/>
        <w:rPr>
          <w:rFonts w:ascii="Arial" w:hAnsi="Arial" w:cs="Arial"/>
          <w:sz w:val="24"/>
          <w:szCs w:val="24"/>
        </w:rPr>
      </w:pPr>
      <w:r>
        <w:rPr>
          <w:rFonts w:ascii="Arial" w:hAnsi="Arial" w:cs="Arial"/>
          <w:noProof/>
          <w:sz w:val="24"/>
          <w:szCs w:val="24"/>
          <w:lang w:val="en-US" w:eastAsia="en-US"/>
        </w:rPr>
        <w:drawing>
          <wp:anchor distT="0" distB="0" distL="114300" distR="114300" simplePos="0" relativeHeight="251672576" behindDoc="1" locked="0" layoutInCell="1" allowOverlap="1" wp14:anchorId="5D7D614C" wp14:editId="455F065A">
            <wp:simplePos x="0" y="0"/>
            <wp:positionH relativeFrom="margin">
              <wp:align>right</wp:align>
            </wp:positionH>
            <wp:positionV relativeFrom="paragraph">
              <wp:posOffset>70550</wp:posOffset>
            </wp:positionV>
            <wp:extent cx="2553970" cy="2183130"/>
            <wp:effectExtent l="0" t="0" r="0" b="7620"/>
            <wp:wrapTight wrapText="bothSides">
              <wp:wrapPolygon edited="0">
                <wp:start x="0" y="0"/>
                <wp:lineTo x="0" y="21487"/>
                <wp:lineTo x="21428" y="21487"/>
                <wp:lineTo x="21428" y="0"/>
                <wp:lineTo x="0" y="0"/>
              </wp:wrapPolygon>
            </wp:wrapTight>
            <wp:docPr id="2" name="Char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Style w:val="TableGrid"/>
        <w:tblW w:w="0" w:type="auto"/>
        <w:tblInd w:w="720" w:type="dxa"/>
        <w:tblLook w:val="04A0" w:firstRow="1" w:lastRow="0" w:firstColumn="1" w:lastColumn="0" w:noHBand="0" w:noVBand="1"/>
      </w:tblPr>
      <w:tblGrid>
        <w:gridCol w:w="1165"/>
        <w:gridCol w:w="1080"/>
        <w:gridCol w:w="1080"/>
        <w:gridCol w:w="1080"/>
      </w:tblGrid>
      <w:tr w:rsidR="002E7D81" w:rsidRPr="00502747" w14:paraId="28805C37" w14:textId="77777777" w:rsidTr="002E7D81">
        <w:tc>
          <w:tcPr>
            <w:tcW w:w="1165" w:type="dxa"/>
            <w:shd w:val="clear" w:color="auto" w:fill="154734"/>
          </w:tcPr>
          <w:p w14:paraId="19C1DBED" w14:textId="77777777" w:rsidR="00502747" w:rsidRPr="00502747" w:rsidRDefault="00502747" w:rsidP="002E7D81">
            <w:pPr>
              <w:pStyle w:val="ListParagraph"/>
              <w:spacing w:after="120" w:line="240" w:lineRule="auto"/>
              <w:ind w:left="0"/>
              <w:jc w:val="center"/>
              <w:rPr>
                <w:rFonts w:ascii="Arial" w:hAnsi="Arial" w:cs="Arial"/>
                <w:b/>
                <w:sz w:val="18"/>
                <w:szCs w:val="18"/>
              </w:rPr>
            </w:pPr>
          </w:p>
        </w:tc>
        <w:tc>
          <w:tcPr>
            <w:tcW w:w="1080" w:type="dxa"/>
            <w:shd w:val="clear" w:color="auto" w:fill="154734"/>
          </w:tcPr>
          <w:p w14:paraId="3D1ED543" w14:textId="77777777" w:rsidR="00502747" w:rsidRPr="00502747" w:rsidRDefault="00502747" w:rsidP="002E7D81">
            <w:pPr>
              <w:pStyle w:val="ListParagraph"/>
              <w:spacing w:after="120" w:line="240" w:lineRule="auto"/>
              <w:ind w:left="0"/>
              <w:jc w:val="center"/>
              <w:rPr>
                <w:rFonts w:ascii="Arial" w:hAnsi="Arial" w:cs="Arial"/>
                <w:b/>
                <w:sz w:val="18"/>
                <w:szCs w:val="18"/>
              </w:rPr>
            </w:pPr>
            <w:r w:rsidRPr="00502747">
              <w:rPr>
                <w:rFonts w:ascii="Arial" w:hAnsi="Arial" w:cs="Arial"/>
                <w:b/>
                <w:sz w:val="18"/>
                <w:szCs w:val="18"/>
              </w:rPr>
              <w:t>Faculty FTEs</w:t>
            </w:r>
          </w:p>
        </w:tc>
        <w:tc>
          <w:tcPr>
            <w:tcW w:w="1080" w:type="dxa"/>
            <w:shd w:val="clear" w:color="auto" w:fill="154734"/>
          </w:tcPr>
          <w:p w14:paraId="62E82DB9" w14:textId="77777777" w:rsidR="00502747" w:rsidRPr="00502747" w:rsidRDefault="00502747" w:rsidP="002E7D81">
            <w:pPr>
              <w:pStyle w:val="ListParagraph"/>
              <w:spacing w:after="120" w:line="240" w:lineRule="auto"/>
              <w:ind w:left="0"/>
              <w:jc w:val="center"/>
              <w:rPr>
                <w:rFonts w:ascii="Arial" w:hAnsi="Arial" w:cs="Arial"/>
                <w:b/>
                <w:sz w:val="18"/>
                <w:szCs w:val="18"/>
              </w:rPr>
            </w:pPr>
            <w:r w:rsidRPr="00502747">
              <w:rPr>
                <w:rFonts w:ascii="Arial" w:hAnsi="Arial" w:cs="Arial"/>
                <w:b/>
                <w:sz w:val="18"/>
                <w:szCs w:val="18"/>
              </w:rPr>
              <w:t>Staff FTEs</w:t>
            </w:r>
          </w:p>
        </w:tc>
        <w:tc>
          <w:tcPr>
            <w:tcW w:w="1080" w:type="dxa"/>
            <w:shd w:val="clear" w:color="auto" w:fill="154734"/>
          </w:tcPr>
          <w:p w14:paraId="002F0FDE" w14:textId="77777777" w:rsidR="00502747" w:rsidRPr="00502747" w:rsidRDefault="00502747" w:rsidP="002E7D81">
            <w:pPr>
              <w:pStyle w:val="ListParagraph"/>
              <w:spacing w:after="120" w:line="240" w:lineRule="auto"/>
              <w:ind w:left="0"/>
              <w:jc w:val="center"/>
              <w:rPr>
                <w:rFonts w:ascii="Arial" w:hAnsi="Arial" w:cs="Arial"/>
                <w:b/>
                <w:sz w:val="18"/>
                <w:szCs w:val="18"/>
              </w:rPr>
            </w:pPr>
            <w:r w:rsidRPr="00502747">
              <w:rPr>
                <w:rFonts w:ascii="Arial" w:hAnsi="Arial" w:cs="Arial"/>
                <w:b/>
                <w:sz w:val="18"/>
                <w:szCs w:val="18"/>
              </w:rPr>
              <w:t>Total RCM FTEs</w:t>
            </w:r>
          </w:p>
        </w:tc>
      </w:tr>
      <w:tr w:rsidR="002E7D81" w:rsidRPr="00502747" w14:paraId="4C68C62E" w14:textId="77777777" w:rsidTr="002E7D81">
        <w:tc>
          <w:tcPr>
            <w:tcW w:w="1165" w:type="dxa"/>
          </w:tcPr>
          <w:p w14:paraId="5F5E7608"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Durham</w:t>
            </w:r>
          </w:p>
        </w:tc>
        <w:tc>
          <w:tcPr>
            <w:tcW w:w="1080" w:type="dxa"/>
          </w:tcPr>
          <w:p w14:paraId="45E30725"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28.20</w:t>
            </w:r>
          </w:p>
        </w:tc>
        <w:tc>
          <w:tcPr>
            <w:tcW w:w="1080" w:type="dxa"/>
          </w:tcPr>
          <w:p w14:paraId="3195E20C"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5.69</w:t>
            </w:r>
          </w:p>
        </w:tc>
        <w:tc>
          <w:tcPr>
            <w:tcW w:w="1080" w:type="dxa"/>
          </w:tcPr>
          <w:p w14:paraId="5E0DA466"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33.89</w:t>
            </w:r>
          </w:p>
        </w:tc>
      </w:tr>
      <w:tr w:rsidR="002E7D81" w:rsidRPr="00502747" w14:paraId="26C0C3ED" w14:textId="77777777" w:rsidTr="002E7D81">
        <w:tc>
          <w:tcPr>
            <w:tcW w:w="1165" w:type="dxa"/>
          </w:tcPr>
          <w:p w14:paraId="6A87A67A"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Education</w:t>
            </w:r>
          </w:p>
        </w:tc>
        <w:tc>
          <w:tcPr>
            <w:tcW w:w="1080" w:type="dxa"/>
          </w:tcPr>
          <w:p w14:paraId="710A995E"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13.40</w:t>
            </w:r>
          </w:p>
        </w:tc>
        <w:tc>
          <w:tcPr>
            <w:tcW w:w="1080" w:type="dxa"/>
          </w:tcPr>
          <w:p w14:paraId="3EAA9F70" w14:textId="77777777" w:rsidR="00502747" w:rsidRPr="00502747" w:rsidRDefault="00502747" w:rsidP="002E7D81">
            <w:pPr>
              <w:pStyle w:val="ListParagraph"/>
              <w:spacing w:after="120" w:line="240" w:lineRule="auto"/>
              <w:ind w:left="0"/>
              <w:jc w:val="right"/>
              <w:rPr>
                <w:rFonts w:ascii="Arial" w:hAnsi="Arial" w:cs="Arial"/>
                <w:sz w:val="18"/>
                <w:szCs w:val="18"/>
              </w:rPr>
            </w:pPr>
            <w:r>
              <w:rPr>
                <w:rFonts w:ascii="Arial" w:hAnsi="Arial" w:cs="Arial"/>
                <w:sz w:val="18"/>
                <w:szCs w:val="18"/>
              </w:rPr>
              <w:t>6.44</w:t>
            </w:r>
          </w:p>
        </w:tc>
        <w:tc>
          <w:tcPr>
            <w:tcW w:w="1080" w:type="dxa"/>
          </w:tcPr>
          <w:p w14:paraId="32B361EE" w14:textId="77777777" w:rsidR="00502747" w:rsidRPr="00502747" w:rsidRDefault="00502747" w:rsidP="00850A35">
            <w:pPr>
              <w:pStyle w:val="ListParagraph"/>
              <w:spacing w:after="120" w:line="240" w:lineRule="auto"/>
              <w:ind w:left="0"/>
              <w:jc w:val="right"/>
              <w:rPr>
                <w:rFonts w:ascii="Arial" w:hAnsi="Arial" w:cs="Arial"/>
                <w:sz w:val="18"/>
                <w:szCs w:val="18"/>
              </w:rPr>
            </w:pPr>
            <w:r>
              <w:rPr>
                <w:rFonts w:ascii="Arial" w:hAnsi="Arial" w:cs="Arial"/>
                <w:sz w:val="18"/>
                <w:szCs w:val="18"/>
              </w:rPr>
              <w:t>1</w:t>
            </w:r>
            <w:r w:rsidR="00850A35">
              <w:rPr>
                <w:rFonts w:ascii="Arial" w:hAnsi="Arial" w:cs="Arial"/>
                <w:sz w:val="18"/>
                <w:szCs w:val="18"/>
              </w:rPr>
              <w:t>9</w:t>
            </w:r>
            <w:r>
              <w:rPr>
                <w:rFonts w:ascii="Arial" w:hAnsi="Arial" w:cs="Arial"/>
                <w:sz w:val="18"/>
                <w:szCs w:val="18"/>
              </w:rPr>
              <w:t>.84</w:t>
            </w:r>
          </w:p>
        </w:tc>
      </w:tr>
      <w:tr w:rsidR="002E7D81" w:rsidRPr="00502747" w14:paraId="21149B04" w14:textId="77777777" w:rsidTr="002E7D81">
        <w:tc>
          <w:tcPr>
            <w:tcW w:w="1165" w:type="dxa"/>
          </w:tcPr>
          <w:p w14:paraId="4C29141E"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Nursing</w:t>
            </w:r>
          </w:p>
        </w:tc>
        <w:tc>
          <w:tcPr>
            <w:tcW w:w="1080" w:type="dxa"/>
          </w:tcPr>
          <w:p w14:paraId="5EF5A581"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13.40</w:t>
            </w:r>
          </w:p>
        </w:tc>
        <w:tc>
          <w:tcPr>
            <w:tcW w:w="1080" w:type="dxa"/>
          </w:tcPr>
          <w:p w14:paraId="10DB2134"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17.88</w:t>
            </w:r>
          </w:p>
        </w:tc>
        <w:tc>
          <w:tcPr>
            <w:tcW w:w="1080" w:type="dxa"/>
          </w:tcPr>
          <w:p w14:paraId="41958B7A"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31.28</w:t>
            </w:r>
          </w:p>
        </w:tc>
      </w:tr>
      <w:tr w:rsidR="002E7D81" w:rsidRPr="00502747" w14:paraId="65EBD5A2" w14:textId="77777777" w:rsidTr="002E7D81">
        <w:tc>
          <w:tcPr>
            <w:tcW w:w="1165" w:type="dxa"/>
          </w:tcPr>
          <w:p w14:paraId="2E8BBE2C"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Humanities</w:t>
            </w:r>
          </w:p>
        </w:tc>
        <w:tc>
          <w:tcPr>
            <w:tcW w:w="1080" w:type="dxa"/>
          </w:tcPr>
          <w:p w14:paraId="420B7008"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59.40</w:t>
            </w:r>
          </w:p>
        </w:tc>
        <w:tc>
          <w:tcPr>
            <w:tcW w:w="1080" w:type="dxa"/>
          </w:tcPr>
          <w:p w14:paraId="4BD5B8C6"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7.01</w:t>
            </w:r>
          </w:p>
        </w:tc>
        <w:tc>
          <w:tcPr>
            <w:tcW w:w="1080" w:type="dxa"/>
          </w:tcPr>
          <w:p w14:paraId="611E63E9"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66.41</w:t>
            </w:r>
          </w:p>
        </w:tc>
      </w:tr>
      <w:tr w:rsidR="002E7D81" w:rsidRPr="00502747" w14:paraId="73F8CD25" w14:textId="77777777" w:rsidTr="002E7D81">
        <w:tc>
          <w:tcPr>
            <w:tcW w:w="1165" w:type="dxa"/>
          </w:tcPr>
          <w:p w14:paraId="236F8896"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Science</w:t>
            </w:r>
          </w:p>
        </w:tc>
        <w:tc>
          <w:tcPr>
            <w:tcW w:w="1080" w:type="dxa"/>
          </w:tcPr>
          <w:p w14:paraId="08D7A914"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94.50</w:t>
            </w:r>
          </w:p>
        </w:tc>
        <w:tc>
          <w:tcPr>
            <w:tcW w:w="1080" w:type="dxa"/>
          </w:tcPr>
          <w:p w14:paraId="547E1BC9"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35.49</w:t>
            </w:r>
          </w:p>
        </w:tc>
        <w:tc>
          <w:tcPr>
            <w:tcW w:w="1080" w:type="dxa"/>
          </w:tcPr>
          <w:p w14:paraId="04FCDEB7"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129.99</w:t>
            </w:r>
          </w:p>
        </w:tc>
      </w:tr>
      <w:tr w:rsidR="002E7D81" w:rsidRPr="00502747" w14:paraId="5A82DC3E" w14:textId="77777777" w:rsidTr="002E7D81">
        <w:tc>
          <w:tcPr>
            <w:tcW w:w="1165" w:type="dxa"/>
          </w:tcPr>
          <w:p w14:paraId="2AE30D43" w14:textId="77777777" w:rsidR="00502747" w:rsidRPr="00502747" w:rsidRDefault="00502747" w:rsidP="002E7D81">
            <w:pPr>
              <w:pStyle w:val="ListParagraph"/>
              <w:spacing w:after="120" w:line="240" w:lineRule="auto"/>
              <w:ind w:left="0"/>
              <w:jc w:val="both"/>
              <w:rPr>
                <w:rFonts w:ascii="Arial" w:hAnsi="Arial" w:cs="Arial"/>
                <w:sz w:val="18"/>
                <w:szCs w:val="18"/>
              </w:rPr>
            </w:pPr>
            <w:r w:rsidRPr="00502747">
              <w:rPr>
                <w:rFonts w:ascii="Arial" w:hAnsi="Arial" w:cs="Arial"/>
                <w:sz w:val="18"/>
                <w:szCs w:val="18"/>
              </w:rPr>
              <w:t>Social Science</w:t>
            </w:r>
          </w:p>
        </w:tc>
        <w:tc>
          <w:tcPr>
            <w:tcW w:w="1080" w:type="dxa"/>
          </w:tcPr>
          <w:p w14:paraId="638090E4"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63.70</w:t>
            </w:r>
          </w:p>
        </w:tc>
        <w:tc>
          <w:tcPr>
            <w:tcW w:w="1080" w:type="dxa"/>
          </w:tcPr>
          <w:p w14:paraId="56435497"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14.85</w:t>
            </w:r>
          </w:p>
        </w:tc>
        <w:tc>
          <w:tcPr>
            <w:tcW w:w="1080" w:type="dxa"/>
          </w:tcPr>
          <w:p w14:paraId="701115EB" w14:textId="77777777" w:rsidR="00502747" w:rsidRPr="00502747" w:rsidRDefault="00850A35" w:rsidP="002E7D81">
            <w:pPr>
              <w:pStyle w:val="ListParagraph"/>
              <w:spacing w:after="120" w:line="240" w:lineRule="auto"/>
              <w:ind w:left="0"/>
              <w:jc w:val="right"/>
              <w:rPr>
                <w:rFonts w:ascii="Arial" w:hAnsi="Arial" w:cs="Arial"/>
                <w:sz w:val="18"/>
                <w:szCs w:val="18"/>
              </w:rPr>
            </w:pPr>
            <w:r>
              <w:rPr>
                <w:rFonts w:ascii="Arial" w:hAnsi="Arial" w:cs="Arial"/>
                <w:sz w:val="18"/>
                <w:szCs w:val="18"/>
              </w:rPr>
              <w:t>78.55</w:t>
            </w:r>
          </w:p>
        </w:tc>
      </w:tr>
      <w:tr w:rsidR="002E7D81" w:rsidRPr="002E7D81" w14:paraId="22073783" w14:textId="77777777" w:rsidTr="002E7D81">
        <w:tc>
          <w:tcPr>
            <w:tcW w:w="1165" w:type="dxa"/>
          </w:tcPr>
          <w:p w14:paraId="69482ABC" w14:textId="77777777" w:rsidR="00502747" w:rsidRPr="002E7D81" w:rsidRDefault="00502747" w:rsidP="002E7D81">
            <w:pPr>
              <w:pStyle w:val="ListParagraph"/>
              <w:spacing w:after="120" w:line="240" w:lineRule="auto"/>
              <w:ind w:left="0"/>
              <w:jc w:val="both"/>
              <w:rPr>
                <w:rFonts w:ascii="Arial" w:hAnsi="Arial" w:cs="Arial"/>
                <w:b/>
                <w:sz w:val="18"/>
                <w:szCs w:val="18"/>
              </w:rPr>
            </w:pPr>
            <w:r w:rsidRPr="002E7D81">
              <w:rPr>
                <w:rFonts w:ascii="Arial" w:hAnsi="Arial" w:cs="Arial"/>
                <w:b/>
                <w:sz w:val="18"/>
                <w:szCs w:val="18"/>
              </w:rPr>
              <w:t>Total</w:t>
            </w:r>
          </w:p>
        </w:tc>
        <w:tc>
          <w:tcPr>
            <w:tcW w:w="1080" w:type="dxa"/>
          </w:tcPr>
          <w:p w14:paraId="109C63F0" w14:textId="77777777" w:rsidR="00502747" w:rsidRPr="002E7D81" w:rsidRDefault="00850A35" w:rsidP="002E7D81">
            <w:pPr>
              <w:pStyle w:val="ListParagraph"/>
              <w:spacing w:after="120" w:line="240" w:lineRule="auto"/>
              <w:ind w:left="0"/>
              <w:jc w:val="right"/>
              <w:rPr>
                <w:rFonts w:ascii="Arial" w:hAnsi="Arial" w:cs="Arial"/>
                <w:b/>
                <w:sz w:val="18"/>
                <w:szCs w:val="18"/>
              </w:rPr>
            </w:pPr>
            <w:r>
              <w:rPr>
                <w:rFonts w:ascii="Arial" w:hAnsi="Arial" w:cs="Arial"/>
                <w:b/>
                <w:sz w:val="18"/>
                <w:szCs w:val="18"/>
              </w:rPr>
              <w:t>272.60</w:t>
            </w:r>
          </w:p>
        </w:tc>
        <w:tc>
          <w:tcPr>
            <w:tcW w:w="1080" w:type="dxa"/>
          </w:tcPr>
          <w:p w14:paraId="5AB2A868" w14:textId="77777777" w:rsidR="00502747" w:rsidRPr="002E7D81" w:rsidRDefault="00850A35" w:rsidP="002E7D81">
            <w:pPr>
              <w:pStyle w:val="ListParagraph"/>
              <w:spacing w:after="120" w:line="240" w:lineRule="auto"/>
              <w:ind w:left="0"/>
              <w:jc w:val="right"/>
              <w:rPr>
                <w:rFonts w:ascii="Arial" w:hAnsi="Arial" w:cs="Arial"/>
                <w:b/>
                <w:sz w:val="18"/>
                <w:szCs w:val="18"/>
              </w:rPr>
            </w:pPr>
            <w:r>
              <w:rPr>
                <w:rFonts w:ascii="Arial" w:hAnsi="Arial" w:cs="Arial"/>
                <w:b/>
                <w:sz w:val="18"/>
                <w:szCs w:val="18"/>
              </w:rPr>
              <w:t>87.36</w:t>
            </w:r>
          </w:p>
        </w:tc>
        <w:tc>
          <w:tcPr>
            <w:tcW w:w="1080" w:type="dxa"/>
          </w:tcPr>
          <w:p w14:paraId="12F37CCB" w14:textId="77777777" w:rsidR="00502747" w:rsidRPr="002E7D81" w:rsidRDefault="00850A35" w:rsidP="002E7D81">
            <w:pPr>
              <w:pStyle w:val="ListParagraph"/>
              <w:spacing w:after="120" w:line="240" w:lineRule="auto"/>
              <w:ind w:left="0"/>
              <w:jc w:val="right"/>
              <w:rPr>
                <w:rFonts w:ascii="Arial" w:hAnsi="Arial" w:cs="Arial"/>
                <w:b/>
                <w:sz w:val="18"/>
                <w:szCs w:val="18"/>
              </w:rPr>
            </w:pPr>
            <w:r>
              <w:rPr>
                <w:rFonts w:ascii="Arial" w:hAnsi="Arial" w:cs="Arial"/>
                <w:b/>
                <w:sz w:val="18"/>
                <w:szCs w:val="18"/>
              </w:rPr>
              <w:t>359.96</w:t>
            </w:r>
          </w:p>
        </w:tc>
      </w:tr>
    </w:tbl>
    <w:p w14:paraId="09E9662C" w14:textId="77777777" w:rsidR="00502747" w:rsidRPr="00502747" w:rsidRDefault="00502747" w:rsidP="00502747">
      <w:pPr>
        <w:pStyle w:val="ListParagraph"/>
        <w:spacing w:after="0" w:line="240" w:lineRule="auto"/>
        <w:jc w:val="both"/>
        <w:rPr>
          <w:rFonts w:ascii="Arial" w:hAnsi="Arial" w:cs="Arial"/>
          <w:sz w:val="24"/>
          <w:szCs w:val="24"/>
        </w:rPr>
      </w:pPr>
    </w:p>
    <w:p w14:paraId="5A0167B2" w14:textId="77777777" w:rsidR="00C41BA4" w:rsidRPr="0030232D" w:rsidRDefault="00C41BA4" w:rsidP="0030232D">
      <w:pPr>
        <w:pStyle w:val="Heading2"/>
        <w:rPr>
          <w:b/>
          <w:bCs/>
        </w:rPr>
      </w:pPr>
      <w:r w:rsidRPr="0030232D">
        <w:rPr>
          <w:b/>
          <w:bCs/>
        </w:rPr>
        <w:t>Revenue Attribution</w:t>
      </w:r>
    </w:p>
    <w:p w14:paraId="02F3FCF9" w14:textId="77777777" w:rsidR="00C41BA4" w:rsidRDefault="00C41BA4" w:rsidP="0030232D">
      <w:r>
        <w:t xml:space="preserve">Under the RCM model, all revenue of the operating budget will be attributed to academic divisions.  </w:t>
      </w:r>
      <w:r w:rsidR="00B90E2B">
        <w:t xml:space="preserve">The major sources of revenue are Provincial operating grants, tuition fees, Research Support Funds (RSF) and Research Overhead Infrastructure Envelope (ROIE), Durham service teaching, </w:t>
      </w:r>
      <w:r w:rsidR="00A36FC0">
        <w:t xml:space="preserve">Additional Qualifications (AQ) revenue, </w:t>
      </w:r>
      <w:r w:rsidR="00A818CB">
        <w:t>and o</w:t>
      </w:r>
      <w:r w:rsidR="00B90E2B">
        <w:t xml:space="preserve">ther </w:t>
      </w:r>
      <w:r w:rsidR="00A818CB">
        <w:t>i</w:t>
      </w:r>
      <w:r w:rsidR="00B90E2B">
        <w:t>ncome.  The methodology used for each source is described below.</w:t>
      </w:r>
    </w:p>
    <w:p w14:paraId="653C7FBF" w14:textId="137E0D29" w:rsidR="00B90E2B" w:rsidRDefault="0030232D" w:rsidP="0030232D">
      <w:pPr>
        <w:ind w:left="360"/>
      </w:pPr>
      <w:r>
        <w:rPr>
          <w:b/>
          <w:color w:val="154734"/>
        </w:rPr>
        <w:t>1.</w:t>
      </w:r>
      <w:r w:rsidR="00B90E2B" w:rsidRPr="0030232D">
        <w:rPr>
          <w:b/>
          <w:color w:val="154734"/>
        </w:rPr>
        <w:t>Provincial Operating Grants</w:t>
      </w:r>
      <w:r w:rsidR="00B90E2B" w:rsidRPr="00B90E2B">
        <w:t xml:space="preserve">:  Government grants includes all grants received from the Provincial government, </w:t>
      </w:r>
      <w:proofErr w:type="gramStart"/>
      <w:r w:rsidR="00B90E2B" w:rsidRPr="00B90E2B">
        <w:t>with the exception of</w:t>
      </w:r>
      <w:proofErr w:type="gramEnd"/>
      <w:r w:rsidR="00B90E2B" w:rsidRPr="00B90E2B">
        <w:t xml:space="preserve"> RSF and ROIE grants (which are included in a separate category described below), Durham service teaching for UOIT (which is attributed directly), and Municipal Tax Grant (which is included in the Occupancy Cost bin as an offset against the actual municipal tax payments).</w:t>
      </w:r>
      <w:r w:rsidR="00436988">
        <w:t xml:space="preserve"> This revenue includes </w:t>
      </w:r>
      <w:r w:rsidR="00C05A1C">
        <w:t>provincial operating grants received</w:t>
      </w:r>
      <w:r w:rsidR="00436988">
        <w:t xml:space="preserve"> </w:t>
      </w:r>
      <w:r w:rsidR="00C05A1C">
        <w:t>indirectly through</w:t>
      </w:r>
      <w:r w:rsidR="00436988">
        <w:t xml:space="preserve"> Fleming College </w:t>
      </w:r>
      <w:r w:rsidR="00C05A1C">
        <w:t>for the collaborative nursing program.</w:t>
      </w:r>
    </w:p>
    <w:p w14:paraId="5CFDB16E" w14:textId="77777777" w:rsidR="00B90E2B" w:rsidRDefault="00B90E2B" w:rsidP="00E376D2">
      <w:pPr>
        <w:pStyle w:val="ListParagraph"/>
        <w:spacing w:after="240" w:line="240" w:lineRule="auto"/>
        <w:jc w:val="both"/>
        <w:rPr>
          <w:rFonts w:ascii="Arial" w:hAnsi="Arial" w:cs="Arial"/>
          <w:b/>
          <w:color w:val="5B7F95"/>
          <w:sz w:val="24"/>
          <w:szCs w:val="24"/>
        </w:rPr>
      </w:pPr>
    </w:p>
    <w:p w14:paraId="0B8CC126" w14:textId="77777777" w:rsidR="00477773" w:rsidRDefault="00C60E0D" w:rsidP="0030232D">
      <w:r>
        <w:t xml:space="preserve">Operating grants are primarily determined by student enrolment weighted by program and level of study.  Therefore, this revenue will be attributed to academic divisions on the basis of these Weighted Grant Units (WGUs).  </w:t>
      </w:r>
      <w:r w:rsidRPr="00C41BA4">
        <w:t xml:space="preserve">Undergraduate enrolment </w:t>
      </w:r>
      <w:r>
        <w:t xml:space="preserve">will be </w:t>
      </w:r>
      <w:r w:rsidRPr="00C41BA4">
        <w:t>based 100% on teaching faculty and graduate enrolment will be</w:t>
      </w:r>
      <w:r>
        <w:t xml:space="preserve"> </w:t>
      </w:r>
      <w:r w:rsidRPr="00C41BA4">
        <w:t xml:space="preserve">based 100% on major. </w:t>
      </w:r>
      <w:r>
        <w:t xml:space="preserve"> That is, the academic division that is providing the </w:t>
      </w:r>
      <w:r w:rsidR="00477773">
        <w:t>faculty</w:t>
      </w:r>
      <w:r>
        <w:t xml:space="preserve"> resources </w:t>
      </w:r>
      <w:r w:rsidR="00477773">
        <w:t>to teach</w:t>
      </w:r>
      <w:r>
        <w:t xml:space="preserve"> the students will be credited with</w:t>
      </w:r>
      <w:r w:rsidR="00477773">
        <w:t xml:space="preserve"> the revenue generated by those teaching resources in the RCM model.</w:t>
      </w:r>
    </w:p>
    <w:p w14:paraId="31DA8FC5" w14:textId="77777777" w:rsidR="002E7D81" w:rsidRDefault="002E7D81" w:rsidP="00477773">
      <w:pPr>
        <w:pStyle w:val="ListParagraph"/>
        <w:spacing w:line="240" w:lineRule="auto"/>
        <w:jc w:val="both"/>
        <w:rPr>
          <w:rFonts w:ascii="Arial" w:hAnsi="Arial" w:cs="Arial"/>
          <w:sz w:val="24"/>
          <w:szCs w:val="24"/>
        </w:rPr>
      </w:pPr>
    </w:p>
    <w:p w14:paraId="28CA3E8D" w14:textId="77777777" w:rsidR="002E7D81" w:rsidRDefault="002E7D81" w:rsidP="00477773">
      <w:pPr>
        <w:pStyle w:val="ListParagraph"/>
        <w:spacing w:line="240" w:lineRule="auto"/>
        <w:jc w:val="both"/>
        <w:rPr>
          <w:rFonts w:ascii="Arial" w:hAnsi="Arial" w:cs="Arial"/>
          <w:sz w:val="24"/>
          <w:szCs w:val="24"/>
        </w:rPr>
      </w:pPr>
    </w:p>
    <w:p w14:paraId="71CE73B9" w14:textId="77777777" w:rsidR="002E7D81" w:rsidRDefault="002E7D81" w:rsidP="0030232D"/>
    <w:p w14:paraId="183A6B82" w14:textId="77777777" w:rsidR="002E7D81" w:rsidRDefault="002E7D81" w:rsidP="0030232D">
      <w:r>
        <w:t xml:space="preserve">The provincial operating grants assumed in the 2018/2019 RCM budget </w:t>
      </w:r>
      <w:r w:rsidR="00655190">
        <w:t xml:space="preserve">(version 2) </w:t>
      </w:r>
      <w:r>
        <w:t>are as follows:</w:t>
      </w:r>
    </w:p>
    <w:p w14:paraId="143B11E7" w14:textId="77777777" w:rsidR="00436988" w:rsidRDefault="00B7641F" w:rsidP="0030232D">
      <w:r>
        <w:rPr>
          <w:noProof/>
          <w:lang w:val="en-US" w:eastAsia="en-US"/>
        </w:rPr>
        <w:drawing>
          <wp:anchor distT="0" distB="0" distL="114300" distR="114300" simplePos="0" relativeHeight="251674624" behindDoc="1" locked="0" layoutInCell="1" allowOverlap="1" wp14:anchorId="65474595" wp14:editId="69838D39">
            <wp:simplePos x="0" y="0"/>
            <wp:positionH relativeFrom="margin">
              <wp:align>right</wp:align>
            </wp:positionH>
            <wp:positionV relativeFrom="paragraph">
              <wp:posOffset>613</wp:posOffset>
            </wp:positionV>
            <wp:extent cx="2553970" cy="2183130"/>
            <wp:effectExtent l="0" t="0" r="0" b="7620"/>
            <wp:wrapTight wrapText="bothSides">
              <wp:wrapPolygon edited="0">
                <wp:start x="0" y="0"/>
                <wp:lineTo x="0" y="21487"/>
                <wp:lineTo x="21428" y="21487"/>
                <wp:lineTo x="21428" y="0"/>
                <wp:lineTo x="0" y="0"/>
              </wp:wrapPolygon>
            </wp:wrapTight>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Style w:val="TableGrid"/>
        <w:tblW w:w="0" w:type="auto"/>
        <w:tblInd w:w="720" w:type="dxa"/>
        <w:tblLook w:val="04A0" w:firstRow="1" w:lastRow="0" w:firstColumn="1" w:lastColumn="0" w:noHBand="0" w:noVBand="1"/>
      </w:tblPr>
      <w:tblGrid>
        <w:gridCol w:w="2425"/>
        <w:gridCol w:w="1980"/>
      </w:tblGrid>
      <w:tr w:rsidR="002E7D81" w:rsidRPr="002E7D81" w14:paraId="4ABD0750" w14:textId="77777777" w:rsidTr="00B7641F">
        <w:tc>
          <w:tcPr>
            <w:tcW w:w="2425" w:type="dxa"/>
            <w:shd w:val="clear" w:color="auto" w:fill="154734"/>
          </w:tcPr>
          <w:p w14:paraId="392A7CD2" w14:textId="77777777" w:rsidR="00C05A1C" w:rsidRPr="002E7D81" w:rsidRDefault="00C05A1C" w:rsidP="0030232D">
            <w:pPr>
              <w:rPr>
                <w:b/>
                <w:sz w:val="18"/>
                <w:szCs w:val="18"/>
              </w:rPr>
            </w:pPr>
          </w:p>
        </w:tc>
        <w:tc>
          <w:tcPr>
            <w:tcW w:w="1980" w:type="dxa"/>
            <w:shd w:val="clear" w:color="auto" w:fill="154734"/>
          </w:tcPr>
          <w:p w14:paraId="2E035D15" w14:textId="77777777" w:rsidR="00175AF6" w:rsidRDefault="002E7D81" w:rsidP="0030232D">
            <w:pPr>
              <w:rPr>
                <w:b/>
                <w:sz w:val="18"/>
                <w:szCs w:val="18"/>
              </w:rPr>
            </w:pPr>
            <w:r w:rsidRPr="002E7D81">
              <w:rPr>
                <w:b/>
                <w:sz w:val="18"/>
                <w:szCs w:val="18"/>
              </w:rPr>
              <w:t>Amount</w:t>
            </w:r>
          </w:p>
          <w:p w14:paraId="5216AB78" w14:textId="77777777" w:rsidR="00C05A1C" w:rsidRPr="002E7D81" w:rsidRDefault="002E7D81" w:rsidP="0030232D">
            <w:pPr>
              <w:rPr>
                <w:b/>
                <w:sz w:val="18"/>
                <w:szCs w:val="18"/>
              </w:rPr>
            </w:pPr>
            <w:r w:rsidRPr="002E7D81">
              <w:rPr>
                <w:b/>
                <w:sz w:val="18"/>
                <w:szCs w:val="18"/>
              </w:rPr>
              <w:t xml:space="preserve"> (000’s)</w:t>
            </w:r>
          </w:p>
        </w:tc>
      </w:tr>
      <w:tr w:rsidR="00B7641F" w14:paraId="5570ACDD" w14:textId="77777777" w:rsidTr="00B7641F">
        <w:tc>
          <w:tcPr>
            <w:tcW w:w="2425" w:type="dxa"/>
          </w:tcPr>
          <w:p w14:paraId="50CE7768" w14:textId="77777777" w:rsidR="00C05A1C" w:rsidRPr="002E7D81" w:rsidRDefault="002E7D81" w:rsidP="0030232D">
            <w:pPr>
              <w:rPr>
                <w:sz w:val="18"/>
                <w:szCs w:val="18"/>
              </w:rPr>
            </w:pPr>
            <w:r w:rsidRPr="002E7D81">
              <w:rPr>
                <w:sz w:val="18"/>
                <w:szCs w:val="18"/>
              </w:rPr>
              <w:t>Core Operating Grant</w:t>
            </w:r>
          </w:p>
        </w:tc>
        <w:tc>
          <w:tcPr>
            <w:tcW w:w="1980" w:type="dxa"/>
          </w:tcPr>
          <w:p w14:paraId="1BC7A77A" w14:textId="77777777" w:rsidR="00C05A1C" w:rsidRPr="002E7D81" w:rsidRDefault="002E7D81" w:rsidP="0030232D">
            <w:pPr>
              <w:rPr>
                <w:sz w:val="18"/>
                <w:szCs w:val="18"/>
              </w:rPr>
            </w:pPr>
            <w:r w:rsidRPr="002E7D81">
              <w:rPr>
                <w:sz w:val="18"/>
                <w:szCs w:val="18"/>
              </w:rPr>
              <w:t>$47,741</w:t>
            </w:r>
          </w:p>
        </w:tc>
      </w:tr>
      <w:tr w:rsidR="00B7641F" w14:paraId="18F93E03" w14:textId="77777777" w:rsidTr="00B7641F">
        <w:tc>
          <w:tcPr>
            <w:tcW w:w="2425" w:type="dxa"/>
          </w:tcPr>
          <w:p w14:paraId="5EA4874E" w14:textId="77777777" w:rsidR="00C05A1C" w:rsidRPr="002E7D81" w:rsidRDefault="002E7D81" w:rsidP="0030232D">
            <w:pPr>
              <w:rPr>
                <w:sz w:val="18"/>
                <w:szCs w:val="18"/>
              </w:rPr>
            </w:pPr>
            <w:r w:rsidRPr="002E7D81">
              <w:rPr>
                <w:sz w:val="18"/>
                <w:szCs w:val="18"/>
              </w:rPr>
              <w:t>Differentiation Funding</w:t>
            </w:r>
          </w:p>
        </w:tc>
        <w:tc>
          <w:tcPr>
            <w:tcW w:w="1980" w:type="dxa"/>
          </w:tcPr>
          <w:p w14:paraId="68E7A030" w14:textId="77777777" w:rsidR="00C05A1C" w:rsidRPr="002E7D81" w:rsidRDefault="002E7D81" w:rsidP="0030232D">
            <w:pPr>
              <w:rPr>
                <w:sz w:val="18"/>
                <w:szCs w:val="18"/>
              </w:rPr>
            </w:pPr>
            <w:r w:rsidRPr="002E7D81">
              <w:rPr>
                <w:sz w:val="18"/>
                <w:szCs w:val="18"/>
              </w:rPr>
              <w:t>$6,105</w:t>
            </w:r>
          </w:p>
        </w:tc>
      </w:tr>
      <w:tr w:rsidR="00B7641F" w14:paraId="34E5DEAE" w14:textId="77777777" w:rsidTr="00B7641F">
        <w:tc>
          <w:tcPr>
            <w:tcW w:w="2425" w:type="dxa"/>
          </w:tcPr>
          <w:p w14:paraId="2CCCB423" w14:textId="77777777" w:rsidR="00C05A1C" w:rsidRPr="002E7D81" w:rsidRDefault="002E7D81" w:rsidP="0030232D">
            <w:pPr>
              <w:rPr>
                <w:sz w:val="18"/>
                <w:szCs w:val="18"/>
              </w:rPr>
            </w:pPr>
            <w:r w:rsidRPr="002E7D81">
              <w:rPr>
                <w:sz w:val="18"/>
                <w:szCs w:val="18"/>
              </w:rPr>
              <w:t>Special Purpose Grants</w:t>
            </w:r>
          </w:p>
        </w:tc>
        <w:tc>
          <w:tcPr>
            <w:tcW w:w="1980" w:type="dxa"/>
          </w:tcPr>
          <w:p w14:paraId="44275B49" w14:textId="77777777" w:rsidR="00C05A1C" w:rsidRPr="002E7D81" w:rsidRDefault="002E7D81" w:rsidP="0030232D">
            <w:pPr>
              <w:rPr>
                <w:sz w:val="18"/>
                <w:szCs w:val="18"/>
              </w:rPr>
            </w:pPr>
            <w:r w:rsidRPr="002E7D81">
              <w:rPr>
                <w:sz w:val="18"/>
                <w:szCs w:val="18"/>
              </w:rPr>
              <w:t>$1,954</w:t>
            </w:r>
          </w:p>
        </w:tc>
      </w:tr>
      <w:tr w:rsidR="00B7641F" w14:paraId="517898CB" w14:textId="77777777" w:rsidTr="00B7641F">
        <w:tc>
          <w:tcPr>
            <w:tcW w:w="2425" w:type="dxa"/>
          </w:tcPr>
          <w:p w14:paraId="719C86E9" w14:textId="77777777" w:rsidR="00C05A1C" w:rsidRPr="002E7D81" w:rsidRDefault="002E7D81" w:rsidP="0030232D">
            <w:pPr>
              <w:rPr>
                <w:sz w:val="18"/>
                <w:szCs w:val="18"/>
              </w:rPr>
            </w:pPr>
            <w:r w:rsidRPr="002E7D81">
              <w:rPr>
                <w:sz w:val="18"/>
                <w:szCs w:val="18"/>
              </w:rPr>
              <w:t>Collaborative Nursing Funding</w:t>
            </w:r>
          </w:p>
        </w:tc>
        <w:tc>
          <w:tcPr>
            <w:tcW w:w="1980" w:type="dxa"/>
          </w:tcPr>
          <w:p w14:paraId="1CF08059" w14:textId="77777777" w:rsidR="00C05A1C" w:rsidRPr="002E7D81" w:rsidRDefault="002E7D81" w:rsidP="0030232D">
            <w:pPr>
              <w:rPr>
                <w:sz w:val="18"/>
                <w:szCs w:val="18"/>
              </w:rPr>
            </w:pPr>
            <w:r w:rsidRPr="002E7D81">
              <w:rPr>
                <w:sz w:val="18"/>
                <w:szCs w:val="18"/>
              </w:rPr>
              <w:t>$2,006</w:t>
            </w:r>
          </w:p>
        </w:tc>
      </w:tr>
      <w:tr w:rsidR="00B7641F" w:rsidRPr="002E7D81" w14:paraId="766D4D32" w14:textId="77777777" w:rsidTr="00B7641F">
        <w:tc>
          <w:tcPr>
            <w:tcW w:w="2425" w:type="dxa"/>
          </w:tcPr>
          <w:p w14:paraId="1A8A8202" w14:textId="77777777" w:rsidR="00C05A1C" w:rsidRPr="002E7D81" w:rsidRDefault="002E7D81" w:rsidP="0030232D">
            <w:pPr>
              <w:rPr>
                <w:b/>
                <w:sz w:val="18"/>
                <w:szCs w:val="18"/>
              </w:rPr>
            </w:pPr>
            <w:r w:rsidRPr="002E7D81">
              <w:rPr>
                <w:b/>
                <w:sz w:val="18"/>
                <w:szCs w:val="18"/>
              </w:rPr>
              <w:t>Total</w:t>
            </w:r>
          </w:p>
        </w:tc>
        <w:tc>
          <w:tcPr>
            <w:tcW w:w="1980" w:type="dxa"/>
          </w:tcPr>
          <w:p w14:paraId="4EAA4D89" w14:textId="77777777" w:rsidR="00C05A1C" w:rsidRPr="002E7D81" w:rsidRDefault="002E7D81" w:rsidP="0030232D">
            <w:pPr>
              <w:rPr>
                <w:b/>
                <w:sz w:val="18"/>
                <w:szCs w:val="18"/>
              </w:rPr>
            </w:pPr>
            <w:r w:rsidRPr="002E7D81">
              <w:rPr>
                <w:b/>
                <w:sz w:val="18"/>
                <w:szCs w:val="18"/>
              </w:rPr>
              <w:t>$57,806</w:t>
            </w:r>
          </w:p>
        </w:tc>
      </w:tr>
    </w:tbl>
    <w:p w14:paraId="5A375B7E" w14:textId="77777777" w:rsidR="00477773" w:rsidRDefault="00477773" w:rsidP="0030232D"/>
    <w:p w14:paraId="18BDD302" w14:textId="77777777" w:rsidR="00B7641F" w:rsidRPr="00477773" w:rsidRDefault="00B7641F" w:rsidP="00477773">
      <w:pPr>
        <w:pStyle w:val="ListParagraph"/>
        <w:rPr>
          <w:rFonts w:ascii="Arial" w:hAnsi="Arial" w:cs="Arial"/>
          <w:sz w:val="24"/>
          <w:szCs w:val="24"/>
        </w:rPr>
      </w:pPr>
    </w:p>
    <w:p w14:paraId="4554AC39" w14:textId="77777777" w:rsidR="00477773" w:rsidRPr="00A36FC0" w:rsidRDefault="00477773" w:rsidP="0030232D">
      <w:pPr>
        <w:pStyle w:val="ListParagraph"/>
        <w:numPr>
          <w:ilvl w:val="0"/>
          <w:numId w:val="24"/>
        </w:numPr>
      </w:pPr>
      <w:r w:rsidRPr="0030232D">
        <w:rPr>
          <w:b/>
          <w:color w:val="154734"/>
        </w:rPr>
        <w:t>Tuition Fees</w:t>
      </w:r>
      <w:r w:rsidRPr="00A36FC0">
        <w:t>:  Tuition fees are generated on a per student basis at domestic and international tuition rates approved by the Board of Governors and in accordance with the Ministry’s tuition fee framework.</w:t>
      </w:r>
      <w:r w:rsidR="00A36FC0">
        <w:t xml:space="preserve">  </w:t>
      </w:r>
      <w:r w:rsidRPr="00A36FC0">
        <w:t>Revenue from tuition fees will be attributed to each division based on divisional student full-time equivalents.  Undergraduate tuition will be based 100% on teaching faculty and graduate tuition will be based 100% on major.</w:t>
      </w:r>
      <w:r w:rsidR="00C60E0D" w:rsidRPr="00A36FC0">
        <w:t xml:space="preserve">  </w:t>
      </w:r>
      <w:r w:rsidRPr="00A36FC0">
        <w:t>That is, the academic division that is providing the faculty resources to teach the students will be credited with the revenue generated by those teaching resources in the RCM model.</w:t>
      </w:r>
    </w:p>
    <w:p w14:paraId="5C5FDEE5" w14:textId="77777777" w:rsidR="00477773" w:rsidRDefault="00477773" w:rsidP="00E376D2">
      <w:pPr>
        <w:pStyle w:val="ListParagraph"/>
        <w:spacing w:after="240" w:line="240" w:lineRule="auto"/>
        <w:jc w:val="both"/>
        <w:rPr>
          <w:rFonts w:ascii="Arial" w:hAnsi="Arial" w:cs="Arial"/>
          <w:sz w:val="24"/>
          <w:szCs w:val="24"/>
        </w:rPr>
      </w:pPr>
    </w:p>
    <w:p w14:paraId="64F6EF60" w14:textId="77777777" w:rsidR="00B7641F" w:rsidRDefault="005F5AA6" w:rsidP="0030232D">
      <w:r>
        <w:t xml:space="preserve">Tuition fees revenue projected in the 2018/2019 RCM budget </w:t>
      </w:r>
      <w:r w:rsidR="00655190">
        <w:t xml:space="preserve">(version 2) </w:t>
      </w:r>
      <w:r>
        <w:t>are as follows:</w:t>
      </w:r>
    </w:p>
    <w:p w14:paraId="704A1D33" w14:textId="77777777" w:rsidR="005F5AA6" w:rsidRDefault="00913B94" w:rsidP="00477773">
      <w:pPr>
        <w:pStyle w:val="ListParagraph"/>
        <w:spacing w:line="240" w:lineRule="auto"/>
        <w:jc w:val="both"/>
        <w:rPr>
          <w:rFonts w:ascii="Arial" w:hAnsi="Arial" w:cs="Arial"/>
          <w:sz w:val="24"/>
          <w:szCs w:val="24"/>
        </w:rPr>
      </w:pPr>
      <w:r>
        <w:rPr>
          <w:rFonts w:ascii="Arial" w:hAnsi="Arial" w:cs="Arial"/>
          <w:noProof/>
          <w:sz w:val="24"/>
          <w:szCs w:val="24"/>
          <w:lang w:val="en-US" w:eastAsia="en-US"/>
        </w:rPr>
        <w:drawing>
          <wp:anchor distT="0" distB="0" distL="114300" distR="114300" simplePos="0" relativeHeight="251676672" behindDoc="1" locked="0" layoutInCell="1" allowOverlap="1" wp14:anchorId="50732066" wp14:editId="76CDBE70">
            <wp:simplePos x="0" y="0"/>
            <wp:positionH relativeFrom="margin">
              <wp:align>right</wp:align>
            </wp:positionH>
            <wp:positionV relativeFrom="paragraph">
              <wp:posOffset>8890</wp:posOffset>
            </wp:positionV>
            <wp:extent cx="2553970" cy="2183130"/>
            <wp:effectExtent l="0" t="0" r="0" b="7620"/>
            <wp:wrapTight wrapText="bothSides">
              <wp:wrapPolygon edited="0">
                <wp:start x="0" y="0"/>
                <wp:lineTo x="0" y="21487"/>
                <wp:lineTo x="21428" y="21487"/>
                <wp:lineTo x="21428" y="0"/>
                <wp:lineTo x="0" y="0"/>
              </wp:wrapPolygon>
            </wp:wrapTight>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Style w:val="TableGrid"/>
        <w:tblW w:w="0" w:type="auto"/>
        <w:tblInd w:w="720" w:type="dxa"/>
        <w:tblLook w:val="04A0" w:firstRow="1" w:lastRow="0" w:firstColumn="1" w:lastColumn="0" w:noHBand="0" w:noVBand="1"/>
      </w:tblPr>
      <w:tblGrid>
        <w:gridCol w:w="2425"/>
        <w:gridCol w:w="1980"/>
      </w:tblGrid>
      <w:tr w:rsidR="00913B94" w:rsidRPr="002E7D81" w14:paraId="1922064E" w14:textId="77777777" w:rsidTr="007E7147">
        <w:tc>
          <w:tcPr>
            <w:tcW w:w="2425" w:type="dxa"/>
            <w:shd w:val="clear" w:color="auto" w:fill="154734"/>
          </w:tcPr>
          <w:p w14:paraId="664F19DF" w14:textId="77777777" w:rsidR="00913B94" w:rsidRPr="002E7D81" w:rsidRDefault="00913B94" w:rsidP="007E7147">
            <w:pPr>
              <w:pStyle w:val="ListParagraph"/>
              <w:ind w:left="0"/>
              <w:jc w:val="center"/>
              <w:rPr>
                <w:rFonts w:ascii="Arial" w:hAnsi="Arial" w:cs="Arial"/>
                <w:b/>
                <w:sz w:val="18"/>
                <w:szCs w:val="18"/>
              </w:rPr>
            </w:pPr>
          </w:p>
        </w:tc>
        <w:tc>
          <w:tcPr>
            <w:tcW w:w="1980" w:type="dxa"/>
            <w:shd w:val="clear" w:color="auto" w:fill="154734"/>
          </w:tcPr>
          <w:p w14:paraId="03A07308" w14:textId="77777777" w:rsidR="00175AF6" w:rsidRDefault="00913B94" w:rsidP="007E7147">
            <w:pPr>
              <w:pStyle w:val="ListParagraph"/>
              <w:ind w:left="0"/>
              <w:jc w:val="center"/>
              <w:rPr>
                <w:rFonts w:ascii="Arial" w:hAnsi="Arial" w:cs="Arial"/>
                <w:b/>
                <w:sz w:val="18"/>
                <w:szCs w:val="18"/>
              </w:rPr>
            </w:pPr>
            <w:r w:rsidRPr="002E7D81">
              <w:rPr>
                <w:rFonts w:ascii="Arial" w:hAnsi="Arial" w:cs="Arial"/>
                <w:b/>
                <w:sz w:val="18"/>
                <w:szCs w:val="18"/>
              </w:rPr>
              <w:t xml:space="preserve">Amount </w:t>
            </w:r>
          </w:p>
          <w:p w14:paraId="3D69A66A" w14:textId="77777777" w:rsidR="00913B94" w:rsidRPr="002E7D81" w:rsidRDefault="00913B94" w:rsidP="007E7147">
            <w:pPr>
              <w:pStyle w:val="ListParagraph"/>
              <w:ind w:left="0"/>
              <w:jc w:val="center"/>
              <w:rPr>
                <w:rFonts w:ascii="Arial" w:hAnsi="Arial" w:cs="Arial"/>
                <w:b/>
                <w:sz w:val="18"/>
                <w:szCs w:val="18"/>
              </w:rPr>
            </w:pPr>
            <w:r w:rsidRPr="002E7D81">
              <w:rPr>
                <w:rFonts w:ascii="Arial" w:hAnsi="Arial" w:cs="Arial"/>
                <w:b/>
                <w:sz w:val="18"/>
                <w:szCs w:val="18"/>
              </w:rPr>
              <w:t>(000’s)</w:t>
            </w:r>
          </w:p>
        </w:tc>
      </w:tr>
      <w:tr w:rsidR="00913B94" w14:paraId="6D2F0C63" w14:textId="77777777" w:rsidTr="007E7147">
        <w:tc>
          <w:tcPr>
            <w:tcW w:w="2425" w:type="dxa"/>
          </w:tcPr>
          <w:p w14:paraId="495890FD" w14:textId="77777777" w:rsidR="00913B94" w:rsidRPr="002E7D81" w:rsidRDefault="00913B94" w:rsidP="00175AF6">
            <w:pPr>
              <w:pStyle w:val="ListParagraph"/>
              <w:spacing w:after="120"/>
              <w:ind w:left="0"/>
              <w:rPr>
                <w:rFonts w:ascii="Arial" w:hAnsi="Arial" w:cs="Arial"/>
                <w:sz w:val="18"/>
                <w:szCs w:val="18"/>
              </w:rPr>
            </w:pPr>
            <w:r>
              <w:rPr>
                <w:rFonts w:ascii="Arial" w:hAnsi="Arial" w:cs="Arial"/>
                <w:sz w:val="18"/>
                <w:szCs w:val="18"/>
              </w:rPr>
              <w:t>Undergraduate Domestic</w:t>
            </w:r>
          </w:p>
        </w:tc>
        <w:tc>
          <w:tcPr>
            <w:tcW w:w="1980" w:type="dxa"/>
          </w:tcPr>
          <w:p w14:paraId="65BF0BA8" w14:textId="77777777" w:rsidR="00913B94" w:rsidRPr="002E7D81" w:rsidRDefault="00913B94" w:rsidP="00175AF6">
            <w:pPr>
              <w:pStyle w:val="ListParagraph"/>
              <w:spacing w:after="120"/>
              <w:ind w:left="0"/>
              <w:jc w:val="right"/>
              <w:rPr>
                <w:rFonts w:ascii="Arial" w:hAnsi="Arial" w:cs="Arial"/>
                <w:sz w:val="18"/>
                <w:szCs w:val="18"/>
              </w:rPr>
            </w:pPr>
            <w:r>
              <w:rPr>
                <w:rFonts w:ascii="Arial" w:hAnsi="Arial" w:cs="Arial"/>
                <w:sz w:val="18"/>
                <w:szCs w:val="18"/>
              </w:rPr>
              <w:t>$55,918</w:t>
            </w:r>
          </w:p>
        </w:tc>
      </w:tr>
      <w:tr w:rsidR="00913B94" w14:paraId="1E6DB278" w14:textId="77777777" w:rsidTr="007E7147">
        <w:tc>
          <w:tcPr>
            <w:tcW w:w="2425" w:type="dxa"/>
          </w:tcPr>
          <w:p w14:paraId="40FB226F" w14:textId="77777777" w:rsidR="00913B94" w:rsidRPr="002E7D81" w:rsidRDefault="00913B94" w:rsidP="00175AF6">
            <w:pPr>
              <w:pStyle w:val="ListParagraph"/>
              <w:spacing w:after="120"/>
              <w:ind w:left="0"/>
              <w:rPr>
                <w:rFonts w:ascii="Arial" w:hAnsi="Arial" w:cs="Arial"/>
                <w:sz w:val="18"/>
                <w:szCs w:val="18"/>
              </w:rPr>
            </w:pPr>
            <w:r>
              <w:rPr>
                <w:rFonts w:ascii="Arial" w:hAnsi="Arial" w:cs="Arial"/>
                <w:sz w:val="18"/>
                <w:szCs w:val="18"/>
              </w:rPr>
              <w:t>Undergraduate International</w:t>
            </w:r>
          </w:p>
        </w:tc>
        <w:tc>
          <w:tcPr>
            <w:tcW w:w="1980" w:type="dxa"/>
          </w:tcPr>
          <w:p w14:paraId="7D64C886" w14:textId="77777777" w:rsidR="00913B94" w:rsidRPr="002E7D81" w:rsidRDefault="00913B94" w:rsidP="00175AF6">
            <w:pPr>
              <w:pStyle w:val="ListParagraph"/>
              <w:spacing w:after="120"/>
              <w:ind w:left="0"/>
              <w:jc w:val="right"/>
              <w:rPr>
                <w:rFonts w:ascii="Arial" w:hAnsi="Arial" w:cs="Arial"/>
                <w:sz w:val="18"/>
                <w:szCs w:val="18"/>
              </w:rPr>
            </w:pPr>
            <w:r>
              <w:rPr>
                <w:rFonts w:ascii="Arial" w:hAnsi="Arial" w:cs="Arial"/>
                <w:sz w:val="18"/>
                <w:szCs w:val="18"/>
              </w:rPr>
              <w:t>$11,366</w:t>
            </w:r>
          </w:p>
        </w:tc>
      </w:tr>
      <w:tr w:rsidR="00913B94" w14:paraId="25B8EFFB" w14:textId="77777777" w:rsidTr="007E7147">
        <w:tc>
          <w:tcPr>
            <w:tcW w:w="2425" w:type="dxa"/>
          </w:tcPr>
          <w:p w14:paraId="71646DBF" w14:textId="77777777" w:rsidR="00913B94" w:rsidRPr="002E7D81" w:rsidRDefault="00913B94" w:rsidP="00175AF6">
            <w:pPr>
              <w:pStyle w:val="ListParagraph"/>
              <w:spacing w:after="120"/>
              <w:ind w:left="0"/>
              <w:rPr>
                <w:rFonts w:ascii="Arial" w:hAnsi="Arial" w:cs="Arial"/>
                <w:sz w:val="18"/>
                <w:szCs w:val="18"/>
              </w:rPr>
            </w:pPr>
            <w:r>
              <w:rPr>
                <w:rFonts w:ascii="Arial" w:hAnsi="Arial" w:cs="Arial"/>
                <w:sz w:val="18"/>
                <w:szCs w:val="18"/>
              </w:rPr>
              <w:t>Graduate Domestic</w:t>
            </w:r>
          </w:p>
        </w:tc>
        <w:tc>
          <w:tcPr>
            <w:tcW w:w="1980" w:type="dxa"/>
          </w:tcPr>
          <w:p w14:paraId="34D33585" w14:textId="77777777" w:rsidR="00913B94" w:rsidRPr="002E7D81" w:rsidRDefault="00913B94" w:rsidP="00175AF6">
            <w:pPr>
              <w:pStyle w:val="ListParagraph"/>
              <w:spacing w:after="120"/>
              <w:ind w:left="0"/>
              <w:jc w:val="right"/>
              <w:rPr>
                <w:rFonts w:ascii="Arial" w:hAnsi="Arial" w:cs="Arial"/>
                <w:sz w:val="18"/>
                <w:szCs w:val="18"/>
              </w:rPr>
            </w:pPr>
            <w:r w:rsidRPr="002E7D81">
              <w:rPr>
                <w:rFonts w:ascii="Arial" w:hAnsi="Arial" w:cs="Arial"/>
                <w:sz w:val="18"/>
                <w:szCs w:val="18"/>
              </w:rPr>
              <w:t>$</w:t>
            </w:r>
            <w:r>
              <w:rPr>
                <w:rFonts w:ascii="Arial" w:hAnsi="Arial" w:cs="Arial"/>
                <w:sz w:val="18"/>
                <w:szCs w:val="18"/>
              </w:rPr>
              <w:t>3,362</w:t>
            </w:r>
          </w:p>
        </w:tc>
      </w:tr>
      <w:tr w:rsidR="00913B94" w14:paraId="39C06541" w14:textId="77777777" w:rsidTr="007E7147">
        <w:tc>
          <w:tcPr>
            <w:tcW w:w="2425" w:type="dxa"/>
          </w:tcPr>
          <w:p w14:paraId="42DB40A8" w14:textId="77777777" w:rsidR="00913B94" w:rsidRPr="002E7D81" w:rsidRDefault="00913B94" w:rsidP="00175AF6">
            <w:pPr>
              <w:pStyle w:val="ListParagraph"/>
              <w:spacing w:after="120"/>
              <w:ind w:left="0"/>
              <w:rPr>
                <w:rFonts w:ascii="Arial" w:hAnsi="Arial" w:cs="Arial"/>
                <w:sz w:val="18"/>
                <w:szCs w:val="18"/>
              </w:rPr>
            </w:pPr>
            <w:r>
              <w:rPr>
                <w:rFonts w:ascii="Arial" w:hAnsi="Arial" w:cs="Arial"/>
                <w:sz w:val="18"/>
                <w:szCs w:val="18"/>
              </w:rPr>
              <w:t>Graduate International</w:t>
            </w:r>
          </w:p>
        </w:tc>
        <w:tc>
          <w:tcPr>
            <w:tcW w:w="1980" w:type="dxa"/>
          </w:tcPr>
          <w:p w14:paraId="704C4A04" w14:textId="77777777" w:rsidR="00913B94" w:rsidRPr="002E7D81" w:rsidRDefault="00913B94" w:rsidP="00175AF6">
            <w:pPr>
              <w:pStyle w:val="ListParagraph"/>
              <w:spacing w:after="120"/>
              <w:ind w:left="0"/>
              <w:jc w:val="right"/>
              <w:rPr>
                <w:rFonts w:ascii="Arial" w:hAnsi="Arial" w:cs="Arial"/>
                <w:sz w:val="18"/>
                <w:szCs w:val="18"/>
              </w:rPr>
            </w:pPr>
            <w:r>
              <w:rPr>
                <w:rFonts w:ascii="Arial" w:hAnsi="Arial" w:cs="Arial"/>
                <w:sz w:val="18"/>
                <w:szCs w:val="18"/>
              </w:rPr>
              <w:t>$1,653</w:t>
            </w:r>
          </w:p>
        </w:tc>
      </w:tr>
      <w:tr w:rsidR="00913B94" w14:paraId="48E13941" w14:textId="77777777" w:rsidTr="007E7147">
        <w:tc>
          <w:tcPr>
            <w:tcW w:w="2425" w:type="dxa"/>
          </w:tcPr>
          <w:p w14:paraId="24F93460" w14:textId="77777777" w:rsidR="00913B94" w:rsidRPr="002E7D81" w:rsidRDefault="00913B94" w:rsidP="00175AF6">
            <w:pPr>
              <w:pStyle w:val="ListParagraph"/>
              <w:spacing w:after="120"/>
              <w:ind w:left="0"/>
              <w:rPr>
                <w:rFonts w:ascii="Arial" w:hAnsi="Arial" w:cs="Arial"/>
                <w:sz w:val="18"/>
                <w:szCs w:val="18"/>
              </w:rPr>
            </w:pPr>
            <w:r>
              <w:rPr>
                <w:rFonts w:ascii="Arial" w:hAnsi="Arial" w:cs="Arial"/>
                <w:sz w:val="18"/>
                <w:szCs w:val="18"/>
              </w:rPr>
              <w:t>New Graduate Programs</w:t>
            </w:r>
          </w:p>
        </w:tc>
        <w:tc>
          <w:tcPr>
            <w:tcW w:w="1980" w:type="dxa"/>
          </w:tcPr>
          <w:p w14:paraId="075AFE7A" w14:textId="77777777" w:rsidR="00913B94" w:rsidRPr="002E7D81" w:rsidRDefault="00913B94" w:rsidP="00175AF6">
            <w:pPr>
              <w:pStyle w:val="ListParagraph"/>
              <w:spacing w:after="120"/>
              <w:ind w:left="0"/>
              <w:jc w:val="right"/>
              <w:rPr>
                <w:rFonts w:ascii="Arial" w:hAnsi="Arial" w:cs="Arial"/>
                <w:sz w:val="18"/>
                <w:szCs w:val="18"/>
              </w:rPr>
            </w:pPr>
            <w:r>
              <w:rPr>
                <w:rFonts w:ascii="Arial" w:hAnsi="Arial" w:cs="Arial"/>
                <w:sz w:val="18"/>
                <w:szCs w:val="18"/>
              </w:rPr>
              <w:t>$568</w:t>
            </w:r>
          </w:p>
        </w:tc>
      </w:tr>
      <w:tr w:rsidR="00913B94" w:rsidRPr="002E7D81" w14:paraId="11232D79" w14:textId="77777777" w:rsidTr="007E7147">
        <w:tc>
          <w:tcPr>
            <w:tcW w:w="2425" w:type="dxa"/>
          </w:tcPr>
          <w:p w14:paraId="035E4F87" w14:textId="77777777" w:rsidR="00913B94" w:rsidRPr="002E7D81" w:rsidRDefault="00913B94" w:rsidP="00175AF6">
            <w:pPr>
              <w:pStyle w:val="ListParagraph"/>
              <w:spacing w:after="120"/>
              <w:ind w:left="0"/>
              <w:rPr>
                <w:rFonts w:ascii="Arial" w:hAnsi="Arial" w:cs="Arial"/>
                <w:b/>
                <w:sz w:val="18"/>
                <w:szCs w:val="18"/>
              </w:rPr>
            </w:pPr>
            <w:r w:rsidRPr="002E7D81">
              <w:rPr>
                <w:rFonts w:ascii="Arial" w:hAnsi="Arial" w:cs="Arial"/>
                <w:b/>
                <w:sz w:val="18"/>
                <w:szCs w:val="18"/>
              </w:rPr>
              <w:t>Total</w:t>
            </w:r>
          </w:p>
        </w:tc>
        <w:tc>
          <w:tcPr>
            <w:tcW w:w="1980" w:type="dxa"/>
          </w:tcPr>
          <w:p w14:paraId="541DAA82" w14:textId="77777777" w:rsidR="00913B94" w:rsidRPr="002E7D81" w:rsidRDefault="00913B94" w:rsidP="00175AF6">
            <w:pPr>
              <w:pStyle w:val="ListParagraph"/>
              <w:spacing w:after="120"/>
              <w:ind w:left="0"/>
              <w:jc w:val="right"/>
              <w:rPr>
                <w:rFonts w:ascii="Arial" w:hAnsi="Arial" w:cs="Arial"/>
                <w:b/>
                <w:sz w:val="18"/>
                <w:szCs w:val="18"/>
              </w:rPr>
            </w:pPr>
            <w:r w:rsidRPr="002E7D81">
              <w:rPr>
                <w:rFonts w:ascii="Arial" w:hAnsi="Arial" w:cs="Arial"/>
                <w:b/>
                <w:sz w:val="18"/>
                <w:szCs w:val="18"/>
              </w:rPr>
              <w:t>$</w:t>
            </w:r>
            <w:r>
              <w:rPr>
                <w:rFonts w:ascii="Arial" w:hAnsi="Arial" w:cs="Arial"/>
                <w:b/>
                <w:sz w:val="18"/>
                <w:szCs w:val="18"/>
              </w:rPr>
              <w:t>72,867</w:t>
            </w:r>
          </w:p>
        </w:tc>
      </w:tr>
    </w:tbl>
    <w:p w14:paraId="0D94322F" w14:textId="77777777" w:rsidR="005F5AA6" w:rsidRDefault="005F5AA6" w:rsidP="00477773">
      <w:pPr>
        <w:pStyle w:val="ListParagraph"/>
        <w:spacing w:line="240" w:lineRule="auto"/>
        <w:jc w:val="both"/>
        <w:rPr>
          <w:rFonts w:ascii="Arial" w:hAnsi="Arial" w:cs="Arial"/>
          <w:sz w:val="24"/>
          <w:szCs w:val="24"/>
        </w:rPr>
      </w:pPr>
    </w:p>
    <w:p w14:paraId="0955E389" w14:textId="77777777" w:rsidR="00C60E0D" w:rsidRDefault="00477773" w:rsidP="0030232D">
      <w:pPr>
        <w:pStyle w:val="ListParagraph"/>
        <w:numPr>
          <w:ilvl w:val="0"/>
          <w:numId w:val="24"/>
        </w:numPr>
      </w:pPr>
      <w:r w:rsidRPr="0030232D">
        <w:rPr>
          <w:b/>
          <w:color w:val="154734"/>
        </w:rPr>
        <w:t xml:space="preserve">Research </w:t>
      </w:r>
      <w:r w:rsidR="00274321" w:rsidRPr="0030232D">
        <w:rPr>
          <w:b/>
          <w:color w:val="154734"/>
        </w:rPr>
        <w:t>Support and</w:t>
      </w:r>
      <w:r w:rsidR="0062669A" w:rsidRPr="0030232D">
        <w:rPr>
          <w:b/>
          <w:color w:val="154734"/>
        </w:rPr>
        <w:t xml:space="preserve"> </w:t>
      </w:r>
      <w:r w:rsidR="00274321" w:rsidRPr="0030232D">
        <w:rPr>
          <w:b/>
          <w:color w:val="154734"/>
        </w:rPr>
        <w:t xml:space="preserve">Overhead </w:t>
      </w:r>
      <w:r w:rsidRPr="0030232D">
        <w:rPr>
          <w:b/>
          <w:color w:val="154734"/>
        </w:rPr>
        <w:t>Grants</w:t>
      </w:r>
      <w:r>
        <w:t xml:space="preserve">:  RSF and ROIE awards are based on the three-year average Tri-Council grants received by the University, slipped two years.  Similarly, RSF and ROIE </w:t>
      </w:r>
      <w:r>
        <w:lastRenderedPageBreak/>
        <w:t xml:space="preserve">revenue will be attributed </w:t>
      </w:r>
      <w:proofErr w:type="gramStart"/>
      <w:r>
        <w:t>on the basis of</w:t>
      </w:r>
      <w:proofErr w:type="gramEnd"/>
      <w:r>
        <w:t xml:space="preserve"> each academic division’s three-year average actual Tri-Council Grants</w:t>
      </w:r>
      <w:r w:rsidR="0062669A">
        <w:t xml:space="preserve"> in the RCM model</w:t>
      </w:r>
      <w:r>
        <w:t>.</w:t>
      </w:r>
      <w:r w:rsidR="002C7AFF">
        <w:t xml:space="preserve">  The 2018/2019 RCM budget </w:t>
      </w:r>
      <w:r w:rsidR="00655190">
        <w:t xml:space="preserve">(version 2) </w:t>
      </w:r>
      <w:r w:rsidR="002C7AFF">
        <w:t>estimates this revenue to be approximately $1.956 million.</w:t>
      </w:r>
    </w:p>
    <w:p w14:paraId="3F06A38F" w14:textId="77777777" w:rsidR="00477773" w:rsidRDefault="00477773" w:rsidP="0030232D"/>
    <w:p w14:paraId="7CBD85E7" w14:textId="77777777" w:rsidR="00477773" w:rsidRDefault="00477773" w:rsidP="0030232D">
      <w:pPr>
        <w:pStyle w:val="ListParagraph"/>
        <w:numPr>
          <w:ilvl w:val="0"/>
          <w:numId w:val="24"/>
        </w:numPr>
      </w:pPr>
      <w:r w:rsidRPr="0030232D">
        <w:rPr>
          <w:b/>
          <w:color w:val="154734"/>
        </w:rPr>
        <w:t>Durham Service Teaching</w:t>
      </w:r>
      <w:r>
        <w:t xml:space="preserve">:  The University receives annual funding from the University of Ontario Institute of Technology (UOIT) for Trent Durham service teaching of UOIT students.  The payment represents the reallocation of government grant funding received by UOIT for students taught by Trent Durham faculty.  This funding will be attributed directly to </w:t>
      </w:r>
      <w:r w:rsidR="00436988">
        <w:t xml:space="preserve">the </w:t>
      </w:r>
      <w:r>
        <w:t>Durham</w:t>
      </w:r>
      <w:r w:rsidR="00436988">
        <w:t xml:space="preserve"> academic division</w:t>
      </w:r>
      <w:r>
        <w:t>.</w:t>
      </w:r>
      <w:r w:rsidR="002C7AFF">
        <w:t xml:space="preserve"> The 2018/2019 RCM budget</w:t>
      </w:r>
      <w:r w:rsidR="00655190">
        <w:t xml:space="preserve"> (version 2)</w:t>
      </w:r>
      <w:r w:rsidR="002C7AFF">
        <w:t xml:space="preserve"> estimates this revenue to be approximately $421,000.</w:t>
      </w:r>
    </w:p>
    <w:p w14:paraId="0DC6F0C6" w14:textId="77777777" w:rsidR="00A36FC0" w:rsidRPr="00A36FC0" w:rsidRDefault="00A36FC0" w:rsidP="0030232D"/>
    <w:p w14:paraId="240F872A" w14:textId="77777777" w:rsidR="00A36FC0" w:rsidRDefault="00A36FC0" w:rsidP="0030232D">
      <w:pPr>
        <w:pStyle w:val="ListParagraph"/>
        <w:numPr>
          <w:ilvl w:val="0"/>
          <w:numId w:val="24"/>
        </w:numPr>
      </w:pPr>
      <w:r w:rsidRPr="0030232D">
        <w:rPr>
          <w:b/>
          <w:color w:val="154734"/>
        </w:rPr>
        <w:t>Additional Qualifications Revenue</w:t>
      </w:r>
      <w:r>
        <w:t xml:space="preserve">:  </w:t>
      </w:r>
      <w:r w:rsidR="00D34C6F">
        <w:t>Trent University offers additional qualification (AQ) and additional basic qualification (ABQ) for teachers interested in continuing their education</w:t>
      </w:r>
      <w:r w:rsidR="005F5AA6">
        <w:t xml:space="preserve"> and further professional development.  As these courses are offered online through the School of Education, th</w:t>
      </w:r>
      <w:r w:rsidR="0062669A">
        <w:t>e portion of this</w:t>
      </w:r>
      <w:r w:rsidR="005F5AA6">
        <w:t xml:space="preserve"> revenue </w:t>
      </w:r>
      <w:r w:rsidR="0062669A">
        <w:t xml:space="preserve">transferred to the operating budget to support the undergraduate and graduate Education programs </w:t>
      </w:r>
      <w:r w:rsidR="005F5AA6">
        <w:t>is attributed entirely to the Education academic division</w:t>
      </w:r>
      <w:r w:rsidR="0062669A">
        <w:t xml:space="preserve"> under RCM</w:t>
      </w:r>
      <w:r w:rsidR="005F5AA6">
        <w:t>.</w:t>
      </w:r>
      <w:r w:rsidR="002C7AFF">
        <w:t xml:space="preserve">  The 2018/2019 RCM budget </w:t>
      </w:r>
      <w:r w:rsidR="00655190">
        <w:t xml:space="preserve">(version 2) </w:t>
      </w:r>
      <w:r w:rsidR="002C7AFF">
        <w:t xml:space="preserve">estimates this revenue </w:t>
      </w:r>
      <w:r w:rsidR="0062669A">
        <w:t xml:space="preserve">transferred from accumulated surplus </w:t>
      </w:r>
      <w:r w:rsidR="002C7AFF">
        <w:t>to be approximately $225,000.</w:t>
      </w:r>
    </w:p>
    <w:p w14:paraId="02C128AF" w14:textId="77777777" w:rsidR="00436988" w:rsidRPr="00436988" w:rsidRDefault="00436988" w:rsidP="0030232D"/>
    <w:p w14:paraId="47426D8F" w14:textId="77777777" w:rsidR="00436988" w:rsidRDefault="00436988" w:rsidP="0030232D">
      <w:pPr>
        <w:pStyle w:val="ListParagraph"/>
        <w:numPr>
          <w:ilvl w:val="0"/>
          <w:numId w:val="24"/>
        </w:numPr>
      </w:pPr>
      <w:r w:rsidRPr="0030232D">
        <w:rPr>
          <w:b/>
          <w:color w:val="154734"/>
        </w:rPr>
        <w:t>Other Income</w:t>
      </w:r>
      <w:r>
        <w:t>:  Other income includes interest income, miscellaneous revenue, administrative overhead charges to Ancillary departments funded primarily by student fees and surplus transfers from other Ancillary departments.  This revenue will be attributed to academic divisions based on each division’s share of the total attributed revenue from other sources.</w:t>
      </w:r>
      <w:r w:rsidR="002C7AFF">
        <w:t xml:space="preserve">  The 2018/2019 RCM budget </w:t>
      </w:r>
      <w:r w:rsidR="00655190">
        <w:t xml:space="preserve">(version 2) </w:t>
      </w:r>
      <w:r w:rsidR="002C7AFF">
        <w:t>estimates this revenue to be approximately $2.273 million.</w:t>
      </w:r>
    </w:p>
    <w:p w14:paraId="5A71D254" w14:textId="77777777" w:rsidR="002C7AFF" w:rsidRPr="0030232D" w:rsidRDefault="002C7AFF" w:rsidP="0030232D">
      <w:pPr>
        <w:pStyle w:val="Heading2"/>
        <w:rPr>
          <w:b/>
          <w:bCs/>
        </w:rPr>
      </w:pPr>
      <w:r w:rsidRPr="0030232D">
        <w:rPr>
          <w:b/>
          <w:bCs/>
        </w:rPr>
        <w:lastRenderedPageBreak/>
        <w:t>The University Fund</w:t>
      </w:r>
    </w:p>
    <w:p w14:paraId="5B9EC704" w14:textId="77777777" w:rsidR="002C7AFF" w:rsidRDefault="00866AC7" w:rsidP="0030232D">
      <w:r>
        <w:rPr>
          <w:noProof/>
          <w:lang w:val="en-US" w:eastAsia="en-US"/>
        </w:rPr>
        <w:drawing>
          <wp:anchor distT="0" distB="0" distL="114300" distR="114300" simplePos="0" relativeHeight="251678720" behindDoc="1" locked="0" layoutInCell="1" allowOverlap="1" wp14:anchorId="2C0A0AC2" wp14:editId="33F0CDF3">
            <wp:simplePos x="0" y="0"/>
            <wp:positionH relativeFrom="margin">
              <wp:align>right</wp:align>
            </wp:positionH>
            <wp:positionV relativeFrom="paragraph">
              <wp:posOffset>10795</wp:posOffset>
            </wp:positionV>
            <wp:extent cx="2553970" cy="2553970"/>
            <wp:effectExtent l="0" t="0" r="0" b="0"/>
            <wp:wrapTight wrapText="bothSides">
              <wp:wrapPolygon edited="0">
                <wp:start x="0" y="0"/>
                <wp:lineTo x="0" y="21428"/>
                <wp:lineTo x="21428" y="21428"/>
                <wp:lineTo x="21428" y="0"/>
                <wp:lineTo x="0" y="0"/>
              </wp:wrapPolygon>
            </wp:wrapTight>
            <wp:docPr id="9" name="Char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C7AFF">
        <w:t xml:space="preserve">The University Fund will be </w:t>
      </w:r>
      <w:r>
        <w:t>created from</w:t>
      </w:r>
      <w:r w:rsidR="002C7AFF">
        <w:t xml:space="preserve"> 5% of total gross revenue </w:t>
      </w:r>
      <w:r>
        <w:t>of each academic division.  Initially, it will be necessary to use part of the University Fund to help mitigate the impact of changes required during the implementation of the RCM.  Any funds remaining will help support institutional priorities and provide incentives for new programs and revenue growth.</w:t>
      </w:r>
    </w:p>
    <w:p w14:paraId="7545D0DF" w14:textId="77777777" w:rsidR="00CE4D41" w:rsidRDefault="00866AC7" w:rsidP="0030232D">
      <w:r>
        <w:t>In the 2018/2019 RCM budget</w:t>
      </w:r>
      <w:r w:rsidR="006F1C8B">
        <w:t xml:space="preserve"> (version 2)</w:t>
      </w:r>
      <w:r>
        <w:t>, the University Fund is approximately $6.</w:t>
      </w:r>
      <w:r w:rsidR="00CD7F1B">
        <w:t>777</w:t>
      </w:r>
      <w:r>
        <w:t xml:space="preserve"> million, </w:t>
      </w:r>
      <w:r w:rsidR="00D0559A">
        <w:t>about 60%</w:t>
      </w:r>
      <w:r>
        <w:t xml:space="preserve"> of which is required to mitigate the negative impact on academic divisions during the transition period</w:t>
      </w:r>
      <w:r w:rsidR="00D0559A">
        <w:t xml:space="preserve"> and 40% of which is available for strategic investments</w:t>
      </w:r>
      <w:r>
        <w:t>.</w:t>
      </w:r>
    </w:p>
    <w:p w14:paraId="126AF4D9" w14:textId="77777777" w:rsidR="00C71D05" w:rsidRDefault="00CE4D41" w:rsidP="0030232D">
      <w:r>
        <w:t>The long-term intention is to use the University Fund to provide start-up funding for new initiatives and programs.  Future decisions regarding distributions from the University Fund will be made by the President and Vice Presidents Committee</w:t>
      </w:r>
      <w:r w:rsidR="00C71D05" w:rsidRPr="00C71D05">
        <w:t xml:space="preserve"> </w:t>
      </w:r>
      <w:proofErr w:type="gramStart"/>
      <w:r w:rsidR="00C71D05">
        <w:t>giving careful consideration to</w:t>
      </w:r>
      <w:proofErr w:type="gramEnd"/>
      <w:r w:rsidR="00C71D05">
        <w:t xml:space="preserve"> the academic planning requirements</w:t>
      </w:r>
      <w:r w:rsidR="008E21EA">
        <w:t>, alignment with the University’s Strategic Plans, legislation,</w:t>
      </w:r>
      <w:r w:rsidR="00C71D05">
        <w:t xml:space="preserve"> and progress towards each academic division’s RCM target.</w:t>
      </w:r>
    </w:p>
    <w:p w14:paraId="2C3FE9CC" w14:textId="77777777" w:rsidR="002C7AFF" w:rsidRPr="0030232D" w:rsidRDefault="002C7AFF" w:rsidP="0030232D">
      <w:pPr>
        <w:pStyle w:val="Heading2"/>
        <w:rPr>
          <w:b/>
          <w:bCs/>
        </w:rPr>
      </w:pPr>
      <w:r w:rsidRPr="0030232D">
        <w:rPr>
          <w:b/>
          <w:bCs/>
        </w:rPr>
        <w:t>Shared Services Cost Allocations</w:t>
      </w:r>
    </w:p>
    <w:p w14:paraId="2AF8FD18" w14:textId="77777777" w:rsidR="00C71D05" w:rsidRPr="0062669A" w:rsidRDefault="00A818CB" w:rsidP="0030232D">
      <w:r w:rsidRPr="0062669A">
        <w:t>In the RCM mode</w:t>
      </w:r>
      <w:r w:rsidR="00E870F6" w:rsidRPr="0062669A">
        <w:t>l</w:t>
      </w:r>
      <w:r w:rsidRPr="0062669A">
        <w:t>, t</w:t>
      </w:r>
      <w:r w:rsidR="000B0EB9" w:rsidRPr="0062669A">
        <w:t xml:space="preserve">he decanal units </w:t>
      </w:r>
      <w:r w:rsidRPr="0062669A">
        <w:t>are allocated</w:t>
      </w:r>
      <w:r w:rsidR="000B0EB9" w:rsidRPr="0062669A">
        <w:t xml:space="preserve"> their proportionate share of the i</w:t>
      </w:r>
      <w:r w:rsidR="0062669A">
        <w:t>ndirect costs of the University</w:t>
      </w:r>
      <w:r w:rsidRPr="0062669A">
        <w:t xml:space="preserve">.  These indirect costs help support the academic divisions and </w:t>
      </w:r>
      <w:proofErr w:type="gramStart"/>
      <w:r w:rsidRPr="0062669A">
        <w:t>include:</w:t>
      </w:r>
      <w:proofErr w:type="gramEnd"/>
      <w:r w:rsidRPr="0062669A">
        <w:t xml:space="preserve"> occupancy costs, princip</w:t>
      </w:r>
      <w:r w:rsidR="0062669A">
        <w:t>al</w:t>
      </w:r>
      <w:r w:rsidRPr="0062669A">
        <w:t xml:space="preserve"> and interest charges, University management, information technology, human resources, pension special payments, library services, student services, student support, international program and graduate office costs.</w:t>
      </w:r>
    </w:p>
    <w:p w14:paraId="2D124E39" w14:textId="77777777" w:rsidR="00125C21" w:rsidRPr="00E870F6" w:rsidRDefault="00125C21" w:rsidP="0030232D">
      <w:pPr>
        <w:pStyle w:val="ListParagraph"/>
        <w:numPr>
          <w:ilvl w:val="0"/>
          <w:numId w:val="25"/>
        </w:numPr>
      </w:pPr>
      <w:r w:rsidRPr="0030232D">
        <w:rPr>
          <w:b/>
          <w:color w:val="154734"/>
        </w:rPr>
        <w:t>Occupancy Costs</w:t>
      </w:r>
      <w:r w:rsidRPr="00E870F6">
        <w:t>:  Occupancy costs in Peterborough include Facilities Management budgets for building repairs and maintenance, caretaking, utilities, grounds, locksmith, and municipal taxes.  These costs are reduced by the Municipal Tax Grant, lease revenue, occupancy cost allocations to Ancillary departments and cost recoveries for services provided.</w:t>
      </w:r>
      <w:r w:rsidR="00324DD2" w:rsidRPr="00E870F6">
        <w:t xml:space="preserve">  </w:t>
      </w:r>
      <w:r w:rsidRPr="00E870F6">
        <w:t>The total net occupancy cost will be attributed to academic divisions, classrooms and grad</w:t>
      </w:r>
      <w:r w:rsidR="0062669A">
        <w:t>u</w:t>
      </w:r>
      <w:r w:rsidRPr="00E870F6">
        <w:t xml:space="preserve">ate student offices </w:t>
      </w:r>
      <w:proofErr w:type="gramStart"/>
      <w:r w:rsidRPr="00E870F6">
        <w:t>on the basis of</w:t>
      </w:r>
      <w:proofErr w:type="gramEnd"/>
      <w:r w:rsidRPr="00E870F6">
        <w:t xml:space="preserve"> the net assigned square feet from the Facilities Management space inventory database.  Occupancy costs for the classrooms will be further attributed based on scheduled classroom hours as tracked in the classroom central booking system.  Occupancy co</w:t>
      </w:r>
      <w:r w:rsidR="0062669A">
        <w:t>s</w:t>
      </w:r>
      <w:r w:rsidRPr="00E870F6">
        <w:t>ts related to graduate student offices will be attributed based on graduate FTEs.</w:t>
      </w:r>
    </w:p>
    <w:p w14:paraId="324FA5A4" w14:textId="77777777" w:rsidR="00125C21" w:rsidRDefault="00125C21" w:rsidP="0030232D">
      <w:r>
        <w:t>For the Durham campus, costs for utilities, building maintenance and caretaking staff are separately identified.  These costs will be attributed directly to Durham.</w:t>
      </w:r>
    </w:p>
    <w:p w14:paraId="3492629D" w14:textId="77777777" w:rsidR="00175AF6" w:rsidRPr="00175AF6" w:rsidRDefault="00125C21" w:rsidP="0030232D">
      <w:r>
        <w:t xml:space="preserve">The net assigned square feet will be adjusted to reflect the differences in occupancy costs, such as utilities, maintenance and caretaking, using the ratio of eligible FTEs to WGUs as a proxy for the </w:t>
      </w:r>
      <w:r>
        <w:lastRenderedPageBreak/>
        <w:t>differences in teaching costs.  The WGUs acknowledge the fact that certain programs are more expensive to teach than others and is the basis on which provincial grant funding is determined.  The occupancy cost WGU adjustment is consistent with the WGU driver used for the grant revenue allocation previously described.  The table below sets out the calculation of the FTE/WGU ratio used to adjust the cost allocation by academic division</w:t>
      </w:r>
      <w:r w:rsidR="00950BBF">
        <w:t xml:space="preserve"> in the 2018/2019 RCM budget (version 2)</w:t>
      </w:r>
      <w:r>
        <w:t xml:space="preserve">. </w:t>
      </w:r>
      <w:r w:rsidR="00324DD2">
        <w:t xml:space="preserve"> </w:t>
      </w:r>
      <w:r w:rsidR="00175AF6" w:rsidRPr="00175AF6">
        <w:t>Durham campus is excluded from this adjustment because the direct occupancy costs are known and are directly attributed.</w:t>
      </w:r>
    </w:p>
    <w:tbl>
      <w:tblPr>
        <w:tblStyle w:val="TableGrid"/>
        <w:tblW w:w="0" w:type="auto"/>
        <w:tblInd w:w="720" w:type="dxa"/>
        <w:tblLayout w:type="fixed"/>
        <w:tblLook w:val="04A0" w:firstRow="1" w:lastRow="0" w:firstColumn="1" w:lastColumn="0" w:noHBand="0" w:noVBand="1"/>
      </w:tblPr>
      <w:tblGrid>
        <w:gridCol w:w="1435"/>
        <w:gridCol w:w="990"/>
        <w:gridCol w:w="1080"/>
        <w:gridCol w:w="859"/>
        <w:gridCol w:w="1066"/>
        <w:gridCol w:w="1135"/>
        <w:gridCol w:w="900"/>
        <w:gridCol w:w="1165"/>
      </w:tblGrid>
      <w:tr w:rsidR="00E870F6" w:rsidRPr="00950BBF" w14:paraId="49FA81A5" w14:textId="77777777" w:rsidTr="00E870F6">
        <w:trPr>
          <w:trHeight w:val="20"/>
        </w:trPr>
        <w:tc>
          <w:tcPr>
            <w:tcW w:w="1435" w:type="dxa"/>
            <w:shd w:val="clear" w:color="auto" w:fill="154734"/>
          </w:tcPr>
          <w:p w14:paraId="6EDDF94C" w14:textId="77777777" w:rsidR="00D97066" w:rsidRPr="00950BBF" w:rsidRDefault="00D97066" w:rsidP="0030232D">
            <w:pPr>
              <w:rPr>
                <w:rFonts w:ascii="Arial" w:hAnsi="Arial" w:cs="Arial"/>
                <w:b/>
                <w:color w:val="FFFFFF" w:themeColor="background1"/>
                <w:sz w:val="18"/>
                <w:szCs w:val="18"/>
              </w:rPr>
            </w:pPr>
          </w:p>
        </w:tc>
        <w:tc>
          <w:tcPr>
            <w:tcW w:w="990" w:type="dxa"/>
            <w:shd w:val="clear" w:color="auto" w:fill="154734"/>
          </w:tcPr>
          <w:p w14:paraId="54B1D7C3"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Eligible FTE</w:t>
            </w:r>
          </w:p>
        </w:tc>
        <w:tc>
          <w:tcPr>
            <w:tcW w:w="1080" w:type="dxa"/>
            <w:shd w:val="clear" w:color="auto" w:fill="154734"/>
          </w:tcPr>
          <w:p w14:paraId="45AF371F"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WGU</w:t>
            </w:r>
          </w:p>
        </w:tc>
        <w:tc>
          <w:tcPr>
            <w:tcW w:w="859" w:type="dxa"/>
            <w:shd w:val="clear" w:color="auto" w:fill="154734"/>
          </w:tcPr>
          <w:p w14:paraId="6DE26D96"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FTE</w:t>
            </w:r>
            <w:r w:rsidR="00E870F6">
              <w:rPr>
                <w:rFonts w:ascii="Arial" w:hAnsi="Arial" w:cs="Arial"/>
                <w:b/>
                <w:color w:val="FFFFFF" w:themeColor="background1"/>
                <w:sz w:val="18"/>
                <w:szCs w:val="18"/>
              </w:rPr>
              <w:t xml:space="preserve"> to </w:t>
            </w:r>
            <w:r w:rsidRPr="00950BBF">
              <w:rPr>
                <w:rFonts w:ascii="Arial" w:hAnsi="Arial" w:cs="Arial"/>
                <w:b/>
                <w:color w:val="FFFFFF" w:themeColor="background1"/>
                <w:sz w:val="18"/>
                <w:szCs w:val="18"/>
              </w:rPr>
              <w:t>WGU Ratio</w:t>
            </w:r>
          </w:p>
        </w:tc>
        <w:tc>
          <w:tcPr>
            <w:tcW w:w="1066" w:type="dxa"/>
            <w:shd w:val="clear" w:color="auto" w:fill="154734"/>
          </w:tcPr>
          <w:p w14:paraId="2292FEB7"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 xml:space="preserve">Assigned </w:t>
            </w:r>
            <w:r w:rsidR="00950BBF">
              <w:rPr>
                <w:rFonts w:ascii="Arial" w:hAnsi="Arial" w:cs="Arial"/>
                <w:b/>
                <w:color w:val="FFFFFF" w:themeColor="background1"/>
                <w:sz w:val="18"/>
                <w:szCs w:val="18"/>
              </w:rPr>
              <w:t>Square Footage</w:t>
            </w:r>
          </w:p>
        </w:tc>
        <w:tc>
          <w:tcPr>
            <w:tcW w:w="1135" w:type="dxa"/>
            <w:shd w:val="clear" w:color="auto" w:fill="154734"/>
          </w:tcPr>
          <w:p w14:paraId="7C42899E"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Cost Based on Sq Ft</w:t>
            </w:r>
          </w:p>
        </w:tc>
        <w:tc>
          <w:tcPr>
            <w:tcW w:w="900" w:type="dxa"/>
            <w:shd w:val="clear" w:color="auto" w:fill="154734"/>
          </w:tcPr>
          <w:p w14:paraId="1FA67C1E"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Ratio x Sq Ft</w:t>
            </w:r>
          </w:p>
        </w:tc>
        <w:tc>
          <w:tcPr>
            <w:tcW w:w="1165" w:type="dxa"/>
            <w:shd w:val="clear" w:color="auto" w:fill="154734"/>
          </w:tcPr>
          <w:p w14:paraId="50F45F58" w14:textId="77777777" w:rsidR="00D97066" w:rsidRPr="00950BBF" w:rsidRDefault="00D97066" w:rsidP="0030232D">
            <w:pPr>
              <w:rPr>
                <w:rFonts w:ascii="Arial" w:hAnsi="Arial" w:cs="Arial"/>
                <w:b/>
                <w:color w:val="FFFFFF" w:themeColor="background1"/>
                <w:sz w:val="18"/>
                <w:szCs w:val="18"/>
              </w:rPr>
            </w:pPr>
            <w:r w:rsidRPr="00950BBF">
              <w:rPr>
                <w:rFonts w:ascii="Arial" w:hAnsi="Arial" w:cs="Arial"/>
                <w:b/>
                <w:color w:val="FFFFFF" w:themeColor="background1"/>
                <w:sz w:val="18"/>
                <w:szCs w:val="18"/>
              </w:rPr>
              <w:t>Adjusted Cost per Sq Ft</w:t>
            </w:r>
          </w:p>
        </w:tc>
      </w:tr>
      <w:tr w:rsidR="00950BBF" w:rsidRPr="00D97066" w14:paraId="7149DAC8" w14:textId="77777777" w:rsidTr="00E870F6">
        <w:trPr>
          <w:trHeight w:val="432"/>
        </w:trPr>
        <w:tc>
          <w:tcPr>
            <w:tcW w:w="1435" w:type="dxa"/>
          </w:tcPr>
          <w:p w14:paraId="2A4C6624" w14:textId="77777777" w:rsidR="00D97066" w:rsidRPr="00950BBF" w:rsidRDefault="00D97066" w:rsidP="0030232D">
            <w:pPr>
              <w:rPr>
                <w:rFonts w:ascii="Arial" w:hAnsi="Arial" w:cs="Arial"/>
                <w:sz w:val="18"/>
                <w:szCs w:val="18"/>
              </w:rPr>
            </w:pPr>
            <w:r w:rsidRPr="00950BBF">
              <w:rPr>
                <w:rFonts w:ascii="Arial" w:hAnsi="Arial" w:cs="Arial"/>
                <w:sz w:val="18"/>
                <w:szCs w:val="18"/>
              </w:rPr>
              <w:t>Education</w:t>
            </w:r>
          </w:p>
        </w:tc>
        <w:tc>
          <w:tcPr>
            <w:tcW w:w="990" w:type="dxa"/>
          </w:tcPr>
          <w:p w14:paraId="4FF74CB1" w14:textId="77777777" w:rsidR="00D97066" w:rsidRPr="00950BBF" w:rsidRDefault="00D97066" w:rsidP="0030232D">
            <w:pPr>
              <w:rPr>
                <w:rFonts w:ascii="Arial" w:hAnsi="Arial" w:cs="Arial"/>
                <w:sz w:val="18"/>
                <w:szCs w:val="18"/>
              </w:rPr>
            </w:pPr>
            <w:r w:rsidRPr="00950BBF">
              <w:rPr>
                <w:rFonts w:ascii="Arial" w:hAnsi="Arial" w:cs="Arial"/>
                <w:sz w:val="18"/>
                <w:szCs w:val="18"/>
              </w:rPr>
              <w:t>279.40</w:t>
            </w:r>
          </w:p>
        </w:tc>
        <w:tc>
          <w:tcPr>
            <w:tcW w:w="1080" w:type="dxa"/>
          </w:tcPr>
          <w:p w14:paraId="5D46056E" w14:textId="77777777" w:rsidR="00D97066" w:rsidRPr="00950BBF" w:rsidRDefault="00950BBF" w:rsidP="0030232D">
            <w:pPr>
              <w:rPr>
                <w:rFonts w:ascii="Arial" w:hAnsi="Arial" w:cs="Arial"/>
                <w:sz w:val="18"/>
                <w:szCs w:val="18"/>
              </w:rPr>
            </w:pPr>
            <w:r w:rsidRPr="00950BBF">
              <w:rPr>
                <w:rFonts w:ascii="Arial" w:hAnsi="Arial" w:cs="Arial"/>
                <w:sz w:val="18"/>
                <w:szCs w:val="18"/>
              </w:rPr>
              <w:t>520.21</w:t>
            </w:r>
          </w:p>
        </w:tc>
        <w:tc>
          <w:tcPr>
            <w:tcW w:w="859" w:type="dxa"/>
          </w:tcPr>
          <w:p w14:paraId="624B32B6" w14:textId="77777777" w:rsidR="00D97066" w:rsidRPr="00950BBF" w:rsidRDefault="00324DD2" w:rsidP="0030232D">
            <w:pPr>
              <w:rPr>
                <w:rFonts w:ascii="Arial" w:hAnsi="Arial" w:cs="Arial"/>
                <w:sz w:val="18"/>
                <w:szCs w:val="18"/>
              </w:rPr>
            </w:pPr>
            <w:r>
              <w:rPr>
                <w:rFonts w:ascii="Arial" w:hAnsi="Arial" w:cs="Arial"/>
                <w:sz w:val="18"/>
                <w:szCs w:val="18"/>
              </w:rPr>
              <w:t>1.86</w:t>
            </w:r>
          </w:p>
        </w:tc>
        <w:tc>
          <w:tcPr>
            <w:tcW w:w="1066" w:type="dxa"/>
          </w:tcPr>
          <w:p w14:paraId="79E56394" w14:textId="77777777" w:rsidR="00D97066" w:rsidRPr="00950BBF" w:rsidRDefault="00324DD2" w:rsidP="0030232D">
            <w:pPr>
              <w:rPr>
                <w:rFonts w:ascii="Arial" w:hAnsi="Arial" w:cs="Arial"/>
                <w:sz w:val="18"/>
                <w:szCs w:val="18"/>
              </w:rPr>
            </w:pPr>
            <w:r>
              <w:rPr>
                <w:rFonts w:ascii="Arial" w:hAnsi="Arial" w:cs="Arial"/>
                <w:sz w:val="18"/>
                <w:szCs w:val="18"/>
              </w:rPr>
              <w:t>15,971</w:t>
            </w:r>
          </w:p>
        </w:tc>
        <w:tc>
          <w:tcPr>
            <w:tcW w:w="1135" w:type="dxa"/>
          </w:tcPr>
          <w:p w14:paraId="702A2172"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359,184</w:t>
            </w:r>
          </w:p>
        </w:tc>
        <w:tc>
          <w:tcPr>
            <w:tcW w:w="900" w:type="dxa"/>
          </w:tcPr>
          <w:p w14:paraId="1B51F5D9" w14:textId="77777777" w:rsidR="00D97066" w:rsidRPr="00950BBF" w:rsidRDefault="00324DD2" w:rsidP="0030232D">
            <w:pPr>
              <w:rPr>
                <w:rFonts w:ascii="Arial" w:hAnsi="Arial" w:cs="Arial"/>
                <w:sz w:val="18"/>
                <w:szCs w:val="18"/>
              </w:rPr>
            </w:pPr>
            <w:r>
              <w:rPr>
                <w:rFonts w:ascii="Arial" w:hAnsi="Arial" w:cs="Arial"/>
                <w:sz w:val="18"/>
                <w:szCs w:val="18"/>
              </w:rPr>
              <w:t>29,706</w:t>
            </w:r>
          </w:p>
        </w:tc>
        <w:tc>
          <w:tcPr>
            <w:tcW w:w="1165" w:type="dxa"/>
          </w:tcPr>
          <w:p w14:paraId="32513ACF"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329,383</w:t>
            </w:r>
          </w:p>
        </w:tc>
      </w:tr>
      <w:tr w:rsidR="00950BBF" w:rsidRPr="00D97066" w14:paraId="629AD42C" w14:textId="77777777" w:rsidTr="00E870F6">
        <w:trPr>
          <w:trHeight w:val="432"/>
        </w:trPr>
        <w:tc>
          <w:tcPr>
            <w:tcW w:w="1435" w:type="dxa"/>
          </w:tcPr>
          <w:p w14:paraId="395B24B7" w14:textId="77777777" w:rsidR="00D97066" w:rsidRPr="00950BBF" w:rsidRDefault="00D97066" w:rsidP="0030232D">
            <w:pPr>
              <w:rPr>
                <w:rFonts w:ascii="Arial" w:hAnsi="Arial" w:cs="Arial"/>
                <w:sz w:val="18"/>
                <w:szCs w:val="18"/>
              </w:rPr>
            </w:pPr>
            <w:r w:rsidRPr="00950BBF">
              <w:rPr>
                <w:rFonts w:ascii="Arial" w:hAnsi="Arial" w:cs="Arial"/>
                <w:sz w:val="18"/>
                <w:szCs w:val="18"/>
              </w:rPr>
              <w:t>Nursing</w:t>
            </w:r>
          </w:p>
        </w:tc>
        <w:tc>
          <w:tcPr>
            <w:tcW w:w="990" w:type="dxa"/>
          </w:tcPr>
          <w:p w14:paraId="789C5645" w14:textId="77777777" w:rsidR="00D97066" w:rsidRPr="00950BBF" w:rsidRDefault="00D97066" w:rsidP="0030232D">
            <w:pPr>
              <w:rPr>
                <w:rFonts w:ascii="Arial" w:hAnsi="Arial" w:cs="Arial"/>
                <w:sz w:val="18"/>
                <w:szCs w:val="18"/>
              </w:rPr>
            </w:pPr>
            <w:r w:rsidRPr="00950BBF">
              <w:rPr>
                <w:rFonts w:ascii="Arial" w:hAnsi="Arial" w:cs="Arial"/>
                <w:sz w:val="18"/>
                <w:szCs w:val="18"/>
              </w:rPr>
              <w:t>761.16</w:t>
            </w:r>
          </w:p>
        </w:tc>
        <w:tc>
          <w:tcPr>
            <w:tcW w:w="1080" w:type="dxa"/>
          </w:tcPr>
          <w:p w14:paraId="20A69472" w14:textId="77777777" w:rsidR="00D97066" w:rsidRPr="00950BBF" w:rsidRDefault="00950BBF" w:rsidP="0030232D">
            <w:pPr>
              <w:rPr>
                <w:rFonts w:ascii="Arial" w:hAnsi="Arial" w:cs="Arial"/>
                <w:sz w:val="18"/>
                <w:szCs w:val="18"/>
              </w:rPr>
            </w:pPr>
            <w:r w:rsidRPr="00950BBF">
              <w:rPr>
                <w:rFonts w:ascii="Arial" w:hAnsi="Arial" w:cs="Arial"/>
                <w:sz w:val="18"/>
                <w:szCs w:val="18"/>
              </w:rPr>
              <w:t>2,116.35</w:t>
            </w:r>
          </w:p>
        </w:tc>
        <w:tc>
          <w:tcPr>
            <w:tcW w:w="859" w:type="dxa"/>
          </w:tcPr>
          <w:p w14:paraId="3199AB29" w14:textId="77777777" w:rsidR="00D97066" w:rsidRPr="00950BBF" w:rsidRDefault="00324DD2" w:rsidP="0030232D">
            <w:pPr>
              <w:rPr>
                <w:rFonts w:ascii="Arial" w:hAnsi="Arial" w:cs="Arial"/>
                <w:sz w:val="18"/>
                <w:szCs w:val="18"/>
              </w:rPr>
            </w:pPr>
            <w:r>
              <w:rPr>
                <w:rFonts w:ascii="Arial" w:hAnsi="Arial" w:cs="Arial"/>
                <w:sz w:val="18"/>
                <w:szCs w:val="18"/>
              </w:rPr>
              <w:t>2.78</w:t>
            </w:r>
          </w:p>
        </w:tc>
        <w:tc>
          <w:tcPr>
            <w:tcW w:w="1066" w:type="dxa"/>
          </w:tcPr>
          <w:p w14:paraId="6F482440" w14:textId="77777777" w:rsidR="00D97066" w:rsidRPr="00950BBF" w:rsidRDefault="00324DD2" w:rsidP="0030232D">
            <w:pPr>
              <w:rPr>
                <w:rFonts w:ascii="Arial" w:hAnsi="Arial" w:cs="Arial"/>
                <w:sz w:val="18"/>
                <w:szCs w:val="18"/>
              </w:rPr>
            </w:pPr>
            <w:r>
              <w:rPr>
                <w:rFonts w:ascii="Arial" w:hAnsi="Arial" w:cs="Arial"/>
                <w:sz w:val="18"/>
                <w:szCs w:val="18"/>
              </w:rPr>
              <w:t>8,699</w:t>
            </w:r>
          </w:p>
        </w:tc>
        <w:tc>
          <w:tcPr>
            <w:tcW w:w="1135" w:type="dxa"/>
          </w:tcPr>
          <w:p w14:paraId="3DA39BB8"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195,628</w:t>
            </w:r>
          </w:p>
        </w:tc>
        <w:tc>
          <w:tcPr>
            <w:tcW w:w="900" w:type="dxa"/>
          </w:tcPr>
          <w:p w14:paraId="4899AE0C" w14:textId="77777777" w:rsidR="00D97066" w:rsidRPr="00950BBF" w:rsidRDefault="00324DD2" w:rsidP="0030232D">
            <w:pPr>
              <w:rPr>
                <w:rFonts w:ascii="Arial" w:hAnsi="Arial" w:cs="Arial"/>
                <w:sz w:val="18"/>
                <w:szCs w:val="18"/>
              </w:rPr>
            </w:pPr>
            <w:r>
              <w:rPr>
                <w:rFonts w:ascii="Arial" w:hAnsi="Arial" w:cs="Arial"/>
                <w:sz w:val="18"/>
                <w:szCs w:val="18"/>
              </w:rPr>
              <w:t>24,182</w:t>
            </w:r>
          </w:p>
        </w:tc>
        <w:tc>
          <w:tcPr>
            <w:tcW w:w="1165" w:type="dxa"/>
          </w:tcPr>
          <w:p w14:paraId="4AB6D1C8"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268,133</w:t>
            </w:r>
          </w:p>
        </w:tc>
      </w:tr>
      <w:tr w:rsidR="00950BBF" w:rsidRPr="00D97066" w14:paraId="7073FCF8" w14:textId="77777777" w:rsidTr="00E870F6">
        <w:trPr>
          <w:trHeight w:val="432"/>
        </w:trPr>
        <w:tc>
          <w:tcPr>
            <w:tcW w:w="1435" w:type="dxa"/>
          </w:tcPr>
          <w:p w14:paraId="68CA991D" w14:textId="77777777" w:rsidR="00D97066" w:rsidRPr="00950BBF" w:rsidRDefault="00D97066" w:rsidP="0030232D">
            <w:pPr>
              <w:rPr>
                <w:rFonts w:ascii="Arial" w:hAnsi="Arial" w:cs="Arial"/>
                <w:sz w:val="18"/>
                <w:szCs w:val="18"/>
              </w:rPr>
            </w:pPr>
            <w:r w:rsidRPr="00950BBF">
              <w:rPr>
                <w:rFonts w:ascii="Arial" w:hAnsi="Arial" w:cs="Arial"/>
                <w:sz w:val="18"/>
                <w:szCs w:val="18"/>
              </w:rPr>
              <w:t>Humanities</w:t>
            </w:r>
          </w:p>
        </w:tc>
        <w:tc>
          <w:tcPr>
            <w:tcW w:w="990" w:type="dxa"/>
          </w:tcPr>
          <w:p w14:paraId="3F60D469" w14:textId="77777777" w:rsidR="00D97066" w:rsidRPr="00950BBF" w:rsidRDefault="00D97066" w:rsidP="0030232D">
            <w:pPr>
              <w:rPr>
                <w:rFonts w:ascii="Arial" w:hAnsi="Arial" w:cs="Arial"/>
                <w:sz w:val="18"/>
                <w:szCs w:val="18"/>
              </w:rPr>
            </w:pPr>
            <w:r w:rsidRPr="00950BBF">
              <w:rPr>
                <w:rFonts w:ascii="Arial" w:hAnsi="Arial" w:cs="Arial"/>
                <w:sz w:val="18"/>
                <w:szCs w:val="18"/>
              </w:rPr>
              <w:t>1,336.00</w:t>
            </w:r>
          </w:p>
        </w:tc>
        <w:tc>
          <w:tcPr>
            <w:tcW w:w="1080" w:type="dxa"/>
          </w:tcPr>
          <w:p w14:paraId="00C1A90C" w14:textId="77777777" w:rsidR="00D97066" w:rsidRPr="00950BBF" w:rsidRDefault="00950BBF" w:rsidP="0030232D">
            <w:pPr>
              <w:rPr>
                <w:rFonts w:ascii="Arial" w:hAnsi="Arial" w:cs="Arial"/>
                <w:sz w:val="18"/>
                <w:szCs w:val="18"/>
              </w:rPr>
            </w:pPr>
            <w:r w:rsidRPr="00950BBF">
              <w:rPr>
                <w:rFonts w:ascii="Arial" w:hAnsi="Arial" w:cs="Arial"/>
                <w:sz w:val="18"/>
                <w:szCs w:val="18"/>
              </w:rPr>
              <w:t>2,293.30</w:t>
            </w:r>
          </w:p>
        </w:tc>
        <w:tc>
          <w:tcPr>
            <w:tcW w:w="859" w:type="dxa"/>
          </w:tcPr>
          <w:p w14:paraId="207EF03A" w14:textId="77777777" w:rsidR="00D97066" w:rsidRPr="00950BBF" w:rsidRDefault="00324DD2" w:rsidP="0030232D">
            <w:pPr>
              <w:rPr>
                <w:rFonts w:ascii="Arial" w:hAnsi="Arial" w:cs="Arial"/>
                <w:sz w:val="18"/>
                <w:szCs w:val="18"/>
              </w:rPr>
            </w:pPr>
            <w:r>
              <w:rPr>
                <w:rFonts w:ascii="Arial" w:hAnsi="Arial" w:cs="Arial"/>
                <w:sz w:val="18"/>
                <w:szCs w:val="18"/>
              </w:rPr>
              <w:t>1.72</w:t>
            </w:r>
          </w:p>
        </w:tc>
        <w:tc>
          <w:tcPr>
            <w:tcW w:w="1066" w:type="dxa"/>
          </w:tcPr>
          <w:p w14:paraId="40D2A3C2" w14:textId="77777777" w:rsidR="00D97066" w:rsidRPr="00950BBF" w:rsidRDefault="00324DD2" w:rsidP="0030232D">
            <w:pPr>
              <w:rPr>
                <w:rFonts w:ascii="Arial" w:hAnsi="Arial" w:cs="Arial"/>
                <w:sz w:val="18"/>
                <w:szCs w:val="18"/>
              </w:rPr>
            </w:pPr>
            <w:r>
              <w:rPr>
                <w:rFonts w:ascii="Arial" w:hAnsi="Arial" w:cs="Arial"/>
                <w:sz w:val="18"/>
                <w:szCs w:val="18"/>
              </w:rPr>
              <w:t>18,546</w:t>
            </w:r>
          </w:p>
        </w:tc>
        <w:tc>
          <w:tcPr>
            <w:tcW w:w="1135" w:type="dxa"/>
          </w:tcPr>
          <w:p w14:paraId="6BE121C7"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417,094</w:t>
            </w:r>
          </w:p>
        </w:tc>
        <w:tc>
          <w:tcPr>
            <w:tcW w:w="900" w:type="dxa"/>
          </w:tcPr>
          <w:p w14:paraId="36D9BECA" w14:textId="77777777" w:rsidR="00D97066" w:rsidRPr="00950BBF" w:rsidRDefault="00324DD2" w:rsidP="0030232D">
            <w:pPr>
              <w:rPr>
                <w:rFonts w:ascii="Arial" w:hAnsi="Arial" w:cs="Arial"/>
                <w:sz w:val="18"/>
                <w:szCs w:val="18"/>
              </w:rPr>
            </w:pPr>
            <w:r>
              <w:rPr>
                <w:rFonts w:ascii="Arial" w:hAnsi="Arial" w:cs="Arial"/>
                <w:sz w:val="18"/>
                <w:szCs w:val="18"/>
              </w:rPr>
              <w:t>31,899</w:t>
            </w:r>
          </w:p>
        </w:tc>
        <w:tc>
          <w:tcPr>
            <w:tcW w:w="1165" w:type="dxa"/>
          </w:tcPr>
          <w:p w14:paraId="5A7909A6"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353,699</w:t>
            </w:r>
          </w:p>
        </w:tc>
      </w:tr>
      <w:tr w:rsidR="00950BBF" w:rsidRPr="00D97066" w14:paraId="40C064E1" w14:textId="77777777" w:rsidTr="00E870F6">
        <w:trPr>
          <w:trHeight w:val="432"/>
        </w:trPr>
        <w:tc>
          <w:tcPr>
            <w:tcW w:w="1435" w:type="dxa"/>
          </w:tcPr>
          <w:p w14:paraId="2CBCA3DD" w14:textId="77777777" w:rsidR="00D97066" w:rsidRPr="00950BBF" w:rsidRDefault="00D97066" w:rsidP="0030232D">
            <w:pPr>
              <w:rPr>
                <w:rFonts w:ascii="Arial" w:hAnsi="Arial" w:cs="Arial"/>
                <w:sz w:val="18"/>
                <w:szCs w:val="18"/>
              </w:rPr>
            </w:pPr>
            <w:r w:rsidRPr="00950BBF">
              <w:rPr>
                <w:rFonts w:ascii="Arial" w:hAnsi="Arial" w:cs="Arial"/>
                <w:sz w:val="18"/>
                <w:szCs w:val="18"/>
              </w:rPr>
              <w:t>Science</w:t>
            </w:r>
          </w:p>
        </w:tc>
        <w:tc>
          <w:tcPr>
            <w:tcW w:w="990" w:type="dxa"/>
          </w:tcPr>
          <w:p w14:paraId="5BE7332B" w14:textId="77777777" w:rsidR="00D97066" w:rsidRPr="00950BBF" w:rsidRDefault="00D97066" w:rsidP="0030232D">
            <w:pPr>
              <w:rPr>
                <w:rFonts w:ascii="Arial" w:hAnsi="Arial" w:cs="Arial"/>
                <w:sz w:val="18"/>
                <w:szCs w:val="18"/>
              </w:rPr>
            </w:pPr>
            <w:r w:rsidRPr="00950BBF">
              <w:rPr>
                <w:rFonts w:ascii="Arial" w:hAnsi="Arial" w:cs="Arial"/>
                <w:sz w:val="18"/>
                <w:szCs w:val="18"/>
              </w:rPr>
              <w:t>3,133.24</w:t>
            </w:r>
          </w:p>
        </w:tc>
        <w:tc>
          <w:tcPr>
            <w:tcW w:w="1080" w:type="dxa"/>
          </w:tcPr>
          <w:p w14:paraId="4FA2E950" w14:textId="77777777" w:rsidR="00D97066" w:rsidRPr="00950BBF" w:rsidRDefault="00950BBF" w:rsidP="0030232D">
            <w:pPr>
              <w:rPr>
                <w:rFonts w:ascii="Arial" w:hAnsi="Arial" w:cs="Arial"/>
                <w:sz w:val="18"/>
                <w:szCs w:val="18"/>
              </w:rPr>
            </w:pPr>
            <w:r w:rsidRPr="00950BBF">
              <w:rPr>
                <w:rFonts w:ascii="Arial" w:hAnsi="Arial" w:cs="Arial"/>
                <w:sz w:val="18"/>
                <w:szCs w:val="18"/>
              </w:rPr>
              <w:t>6,543.57</w:t>
            </w:r>
          </w:p>
        </w:tc>
        <w:tc>
          <w:tcPr>
            <w:tcW w:w="859" w:type="dxa"/>
          </w:tcPr>
          <w:p w14:paraId="37DD8318" w14:textId="77777777" w:rsidR="00D97066" w:rsidRPr="00950BBF" w:rsidRDefault="00324DD2" w:rsidP="0030232D">
            <w:pPr>
              <w:rPr>
                <w:rFonts w:ascii="Arial" w:hAnsi="Arial" w:cs="Arial"/>
                <w:sz w:val="18"/>
                <w:szCs w:val="18"/>
              </w:rPr>
            </w:pPr>
            <w:r>
              <w:rPr>
                <w:rFonts w:ascii="Arial" w:hAnsi="Arial" w:cs="Arial"/>
                <w:sz w:val="18"/>
                <w:szCs w:val="18"/>
              </w:rPr>
              <w:t>2.09</w:t>
            </w:r>
          </w:p>
        </w:tc>
        <w:tc>
          <w:tcPr>
            <w:tcW w:w="1066" w:type="dxa"/>
          </w:tcPr>
          <w:p w14:paraId="47FB122D" w14:textId="77777777" w:rsidR="00D97066" w:rsidRPr="00950BBF" w:rsidRDefault="00324DD2" w:rsidP="0030232D">
            <w:pPr>
              <w:rPr>
                <w:rFonts w:ascii="Arial" w:hAnsi="Arial" w:cs="Arial"/>
                <w:sz w:val="18"/>
                <w:szCs w:val="18"/>
              </w:rPr>
            </w:pPr>
            <w:r>
              <w:rPr>
                <w:rFonts w:ascii="Arial" w:hAnsi="Arial" w:cs="Arial"/>
                <w:sz w:val="18"/>
                <w:szCs w:val="18"/>
              </w:rPr>
              <w:t>176,693</w:t>
            </w:r>
          </w:p>
        </w:tc>
        <w:tc>
          <w:tcPr>
            <w:tcW w:w="1135" w:type="dxa"/>
          </w:tcPr>
          <w:p w14:paraId="05F515C1"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3,973,732</w:t>
            </w:r>
          </w:p>
        </w:tc>
        <w:tc>
          <w:tcPr>
            <w:tcW w:w="900" w:type="dxa"/>
          </w:tcPr>
          <w:p w14:paraId="26503294" w14:textId="77777777" w:rsidR="00D97066" w:rsidRPr="00950BBF" w:rsidRDefault="00324DD2" w:rsidP="0030232D">
            <w:pPr>
              <w:rPr>
                <w:rFonts w:ascii="Arial" w:hAnsi="Arial" w:cs="Arial"/>
                <w:sz w:val="18"/>
                <w:szCs w:val="18"/>
              </w:rPr>
            </w:pPr>
            <w:r>
              <w:rPr>
                <w:rFonts w:ascii="Arial" w:hAnsi="Arial" w:cs="Arial"/>
                <w:sz w:val="18"/>
                <w:szCs w:val="18"/>
              </w:rPr>
              <w:t>369,288</w:t>
            </w:r>
          </w:p>
        </w:tc>
        <w:tc>
          <w:tcPr>
            <w:tcW w:w="1165" w:type="dxa"/>
          </w:tcPr>
          <w:p w14:paraId="6DB12AB5"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4,094,704</w:t>
            </w:r>
          </w:p>
        </w:tc>
      </w:tr>
      <w:tr w:rsidR="00950BBF" w:rsidRPr="00D97066" w14:paraId="44416739" w14:textId="77777777" w:rsidTr="00E870F6">
        <w:trPr>
          <w:trHeight w:val="432"/>
        </w:trPr>
        <w:tc>
          <w:tcPr>
            <w:tcW w:w="1435" w:type="dxa"/>
          </w:tcPr>
          <w:p w14:paraId="2FEAE0C8" w14:textId="77777777" w:rsidR="00D97066" w:rsidRPr="00950BBF" w:rsidRDefault="00D97066" w:rsidP="0030232D">
            <w:pPr>
              <w:rPr>
                <w:rFonts w:ascii="Arial" w:hAnsi="Arial" w:cs="Arial"/>
                <w:sz w:val="18"/>
                <w:szCs w:val="18"/>
              </w:rPr>
            </w:pPr>
            <w:r w:rsidRPr="00950BBF">
              <w:rPr>
                <w:rFonts w:ascii="Arial" w:hAnsi="Arial" w:cs="Arial"/>
                <w:sz w:val="18"/>
                <w:szCs w:val="18"/>
              </w:rPr>
              <w:t>Social Science</w:t>
            </w:r>
          </w:p>
        </w:tc>
        <w:tc>
          <w:tcPr>
            <w:tcW w:w="990" w:type="dxa"/>
          </w:tcPr>
          <w:p w14:paraId="60BE38B6" w14:textId="77777777" w:rsidR="00D97066" w:rsidRPr="00950BBF" w:rsidRDefault="00D97066" w:rsidP="0030232D">
            <w:pPr>
              <w:rPr>
                <w:rFonts w:ascii="Arial" w:hAnsi="Arial" w:cs="Arial"/>
                <w:sz w:val="18"/>
                <w:szCs w:val="18"/>
              </w:rPr>
            </w:pPr>
            <w:r w:rsidRPr="00950BBF">
              <w:rPr>
                <w:rFonts w:ascii="Arial" w:hAnsi="Arial" w:cs="Arial"/>
                <w:sz w:val="18"/>
                <w:szCs w:val="18"/>
              </w:rPr>
              <w:t>1,706.61</w:t>
            </w:r>
          </w:p>
        </w:tc>
        <w:tc>
          <w:tcPr>
            <w:tcW w:w="1080" w:type="dxa"/>
          </w:tcPr>
          <w:p w14:paraId="7C929912" w14:textId="77777777" w:rsidR="00D97066" w:rsidRPr="00950BBF" w:rsidRDefault="00950BBF" w:rsidP="0030232D">
            <w:pPr>
              <w:rPr>
                <w:rFonts w:ascii="Arial" w:hAnsi="Arial" w:cs="Arial"/>
                <w:sz w:val="18"/>
                <w:szCs w:val="18"/>
              </w:rPr>
            </w:pPr>
            <w:r w:rsidRPr="00950BBF">
              <w:rPr>
                <w:rFonts w:ascii="Arial" w:hAnsi="Arial" w:cs="Arial"/>
                <w:sz w:val="18"/>
                <w:szCs w:val="18"/>
              </w:rPr>
              <w:t>3,043.48</w:t>
            </w:r>
          </w:p>
        </w:tc>
        <w:tc>
          <w:tcPr>
            <w:tcW w:w="859" w:type="dxa"/>
          </w:tcPr>
          <w:p w14:paraId="1F074A84" w14:textId="77777777" w:rsidR="00D97066" w:rsidRPr="00950BBF" w:rsidRDefault="00324DD2" w:rsidP="0030232D">
            <w:pPr>
              <w:rPr>
                <w:rFonts w:ascii="Arial" w:hAnsi="Arial" w:cs="Arial"/>
                <w:sz w:val="18"/>
                <w:szCs w:val="18"/>
              </w:rPr>
            </w:pPr>
            <w:r>
              <w:rPr>
                <w:rFonts w:ascii="Arial" w:hAnsi="Arial" w:cs="Arial"/>
                <w:sz w:val="18"/>
                <w:szCs w:val="18"/>
              </w:rPr>
              <w:t>1.78</w:t>
            </w:r>
          </w:p>
        </w:tc>
        <w:tc>
          <w:tcPr>
            <w:tcW w:w="1066" w:type="dxa"/>
          </w:tcPr>
          <w:p w14:paraId="75C270E8" w14:textId="77777777" w:rsidR="00D97066" w:rsidRPr="00950BBF" w:rsidRDefault="00324DD2" w:rsidP="0030232D">
            <w:pPr>
              <w:rPr>
                <w:rFonts w:ascii="Arial" w:hAnsi="Arial" w:cs="Arial"/>
                <w:sz w:val="18"/>
                <w:szCs w:val="18"/>
              </w:rPr>
            </w:pPr>
            <w:r>
              <w:rPr>
                <w:rFonts w:ascii="Arial" w:hAnsi="Arial" w:cs="Arial"/>
                <w:sz w:val="18"/>
                <w:szCs w:val="18"/>
              </w:rPr>
              <w:t>36,432</w:t>
            </w:r>
          </w:p>
        </w:tc>
        <w:tc>
          <w:tcPr>
            <w:tcW w:w="1135" w:type="dxa"/>
          </w:tcPr>
          <w:p w14:paraId="3F727502"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819,335</w:t>
            </w:r>
          </w:p>
        </w:tc>
        <w:tc>
          <w:tcPr>
            <w:tcW w:w="900" w:type="dxa"/>
          </w:tcPr>
          <w:p w14:paraId="24FFA9F7" w14:textId="77777777" w:rsidR="00D97066" w:rsidRPr="00950BBF" w:rsidRDefault="00324DD2" w:rsidP="0030232D">
            <w:pPr>
              <w:rPr>
                <w:rFonts w:ascii="Arial" w:hAnsi="Arial" w:cs="Arial"/>
                <w:sz w:val="18"/>
                <w:szCs w:val="18"/>
              </w:rPr>
            </w:pPr>
            <w:r>
              <w:rPr>
                <w:rFonts w:ascii="Arial" w:hAnsi="Arial" w:cs="Arial"/>
                <w:sz w:val="18"/>
                <w:szCs w:val="18"/>
              </w:rPr>
              <w:t>64,849</w:t>
            </w:r>
          </w:p>
        </w:tc>
        <w:tc>
          <w:tcPr>
            <w:tcW w:w="1165" w:type="dxa"/>
          </w:tcPr>
          <w:p w14:paraId="7F283335" w14:textId="77777777" w:rsidR="00D97066" w:rsidRPr="00950BBF" w:rsidRDefault="00E870F6" w:rsidP="0030232D">
            <w:pPr>
              <w:rPr>
                <w:rFonts w:ascii="Arial" w:hAnsi="Arial" w:cs="Arial"/>
                <w:sz w:val="18"/>
                <w:szCs w:val="18"/>
              </w:rPr>
            </w:pPr>
            <w:r>
              <w:rPr>
                <w:rFonts w:ascii="Arial" w:hAnsi="Arial" w:cs="Arial"/>
                <w:sz w:val="18"/>
                <w:szCs w:val="18"/>
              </w:rPr>
              <w:t>$</w:t>
            </w:r>
            <w:r w:rsidR="00324DD2">
              <w:rPr>
                <w:rFonts w:ascii="Arial" w:hAnsi="Arial" w:cs="Arial"/>
                <w:sz w:val="18"/>
                <w:szCs w:val="18"/>
              </w:rPr>
              <w:t>719,053</w:t>
            </w:r>
          </w:p>
        </w:tc>
      </w:tr>
      <w:tr w:rsidR="00E870F6" w:rsidRPr="00950BBF" w14:paraId="737E4C79" w14:textId="77777777" w:rsidTr="00E870F6">
        <w:trPr>
          <w:trHeight w:val="432"/>
        </w:trPr>
        <w:tc>
          <w:tcPr>
            <w:tcW w:w="1435" w:type="dxa"/>
          </w:tcPr>
          <w:p w14:paraId="1C21D000" w14:textId="77777777" w:rsidR="00D97066" w:rsidRPr="00950BBF" w:rsidRDefault="00D97066" w:rsidP="0030232D">
            <w:pPr>
              <w:rPr>
                <w:rFonts w:ascii="Arial" w:hAnsi="Arial" w:cs="Arial"/>
                <w:b/>
                <w:sz w:val="18"/>
                <w:szCs w:val="18"/>
              </w:rPr>
            </w:pPr>
            <w:r w:rsidRPr="00950BBF">
              <w:rPr>
                <w:rFonts w:ascii="Arial" w:hAnsi="Arial" w:cs="Arial"/>
                <w:b/>
                <w:sz w:val="18"/>
                <w:szCs w:val="18"/>
              </w:rPr>
              <w:t>Total</w:t>
            </w:r>
          </w:p>
        </w:tc>
        <w:tc>
          <w:tcPr>
            <w:tcW w:w="990" w:type="dxa"/>
          </w:tcPr>
          <w:p w14:paraId="58353EC1" w14:textId="77777777" w:rsidR="00D97066" w:rsidRPr="00950BBF" w:rsidRDefault="00D97066" w:rsidP="0030232D">
            <w:pPr>
              <w:rPr>
                <w:rFonts w:ascii="Arial" w:hAnsi="Arial" w:cs="Arial"/>
                <w:b/>
                <w:sz w:val="18"/>
                <w:szCs w:val="18"/>
              </w:rPr>
            </w:pPr>
            <w:r w:rsidRPr="00950BBF">
              <w:rPr>
                <w:rFonts w:ascii="Arial" w:hAnsi="Arial" w:cs="Arial"/>
                <w:b/>
                <w:sz w:val="18"/>
                <w:szCs w:val="18"/>
              </w:rPr>
              <w:t>7,216.41</w:t>
            </w:r>
          </w:p>
        </w:tc>
        <w:tc>
          <w:tcPr>
            <w:tcW w:w="1080" w:type="dxa"/>
          </w:tcPr>
          <w:p w14:paraId="0DB55925" w14:textId="77777777" w:rsidR="00D97066" w:rsidRPr="00950BBF" w:rsidRDefault="00950BBF" w:rsidP="0030232D">
            <w:pPr>
              <w:rPr>
                <w:rFonts w:ascii="Arial" w:hAnsi="Arial" w:cs="Arial"/>
                <w:b/>
                <w:sz w:val="18"/>
                <w:szCs w:val="18"/>
              </w:rPr>
            </w:pPr>
            <w:r w:rsidRPr="00950BBF">
              <w:rPr>
                <w:rFonts w:ascii="Arial" w:hAnsi="Arial" w:cs="Arial"/>
                <w:b/>
                <w:sz w:val="18"/>
                <w:szCs w:val="18"/>
              </w:rPr>
              <w:t>14,516.9</w:t>
            </w:r>
            <w:r w:rsidR="00E870F6">
              <w:rPr>
                <w:rFonts w:ascii="Arial" w:hAnsi="Arial" w:cs="Arial"/>
                <w:b/>
                <w:sz w:val="18"/>
                <w:szCs w:val="18"/>
              </w:rPr>
              <w:t>1</w:t>
            </w:r>
          </w:p>
        </w:tc>
        <w:tc>
          <w:tcPr>
            <w:tcW w:w="859" w:type="dxa"/>
          </w:tcPr>
          <w:p w14:paraId="01298A8E" w14:textId="77777777" w:rsidR="00D97066" w:rsidRPr="00950BBF" w:rsidRDefault="00324DD2" w:rsidP="0030232D">
            <w:pPr>
              <w:rPr>
                <w:rFonts w:ascii="Arial" w:hAnsi="Arial" w:cs="Arial"/>
                <w:b/>
                <w:sz w:val="18"/>
                <w:szCs w:val="18"/>
              </w:rPr>
            </w:pPr>
            <w:r>
              <w:rPr>
                <w:rFonts w:ascii="Arial" w:hAnsi="Arial" w:cs="Arial"/>
                <w:b/>
                <w:sz w:val="18"/>
                <w:szCs w:val="18"/>
              </w:rPr>
              <w:t>10.23</w:t>
            </w:r>
          </w:p>
        </w:tc>
        <w:tc>
          <w:tcPr>
            <w:tcW w:w="1066" w:type="dxa"/>
          </w:tcPr>
          <w:p w14:paraId="31B52036" w14:textId="77777777" w:rsidR="00D97066" w:rsidRPr="00950BBF" w:rsidRDefault="00324DD2" w:rsidP="0030232D">
            <w:pPr>
              <w:rPr>
                <w:rFonts w:ascii="Arial" w:hAnsi="Arial" w:cs="Arial"/>
                <w:b/>
                <w:sz w:val="18"/>
                <w:szCs w:val="18"/>
              </w:rPr>
            </w:pPr>
            <w:r>
              <w:rPr>
                <w:rFonts w:ascii="Arial" w:hAnsi="Arial" w:cs="Arial"/>
                <w:b/>
                <w:sz w:val="18"/>
                <w:szCs w:val="18"/>
              </w:rPr>
              <w:t>256,341</w:t>
            </w:r>
          </w:p>
        </w:tc>
        <w:tc>
          <w:tcPr>
            <w:tcW w:w="1135" w:type="dxa"/>
          </w:tcPr>
          <w:p w14:paraId="0CA17B0F" w14:textId="77777777" w:rsidR="00D97066" w:rsidRPr="00950BBF" w:rsidRDefault="00E870F6" w:rsidP="0030232D">
            <w:pPr>
              <w:rPr>
                <w:rFonts w:ascii="Arial" w:hAnsi="Arial" w:cs="Arial"/>
                <w:b/>
                <w:sz w:val="18"/>
                <w:szCs w:val="18"/>
              </w:rPr>
            </w:pPr>
            <w:r>
              <w:rPr>
                <w:rFonts w:ascii="Arial" w:hAnsi="Arial" w:cs="Arial"/>
                <w:b/>
                <w:sz w:val="18"/>
                <w:szCs w:val="18"/>
              </w:rPr>
              <w:t>$</w:t>
            </w:r>
            <w:r w:rsidR="00324DD2">
              <w:rPr>
                <w:rFonts w:ascii="Arial" w:hAnsi="Arial" w:cs="Arial"/>
                <w:b/>
                <w:sz w:val="18"/>
                <w:szCs w:val="18"/>
              </w:rPr>
              <w:t>5,764,973</w:t>
            </w:r>
          </w:p>
        </w:tc>
        <w:tc>
          <w:tcPr>
            <w:tcW w:w="900" w:type="dxa"/>
          </w:tcPr>
          <w:p w14:paraId="29FA9959" w14:textId="77777777" w:rsidR="00D97066" w:rsidRPr="00950BBF" w:rsidRDefault="00324DD2" w:rsidP="0030232D">
            <w:pPr>
              <w:rPr>
                <w:rFonts w:ascii="Arial" w:hAnsi="Arial" w:cs="Arial"/>
                <w:b/>
                <w:sz w:val="18"/>
                <w:szCs w:val="18"/>
              </w:rPr>
            </w:pPr>
            <w:r>
              <w:rPr>
                <w:rFonts w:ascii="Arial" w:hAnsi="Arial" w:cs="Arial"/>
                <w:b/>
                <w:sz w:val="18"/>
                <w:szCs w:val="18"/>
              </w:rPr>
              <w:t>519,924</w:t>
            </w:r>
          </w:p>
        </w:tc>
        <w:tc>
          <w:tcPr>
            <w:tcW w:w="1165" w:type="dxa"/>
          </w:tcPr>
          <w:p w14:paraId="0DD9B195" w14:textId="77777777" w:rsidR="00D97066" w:rsidRPr="00950BBF" w:rsidRDefault="00E870F6" w:rsidP="0030232D">
            <w:pPr>
              <w:rPr>
                <w:rFonts w:ascii="Arial" w:hAnsi="Arial" w:cs="Arial"/>
                <w:b/>
                <w:sz w:val="18"/>
                <w:szCs w:val="18"/>
              </w:rPr>
            </w:pPr>
            <w:r>
              <w:rPr>
                <w:rFonts w:ascii="Arial" w:hAnsi="Arial" w:cs="Arial"/>
                <w:b/>
                <w:sz w:val="18"/>
                <w:szCs w:val="18"/>
              </w:rPr>
              <w:t>$</w:t>
            </w:r>
            <w:r w:rsidR="00324DD2">
              <w:rPr>
                <w:rFonts w:ascii="Arial" w:hAnsi="Arial" w:cs="Arial"/>
                <w:b/>
                <w:sz w:val="18"/>
                <w:szCs w:val="18"/>
              </w:rPr>
              <w:t>5,764,972</w:t>
            </w:r>
          </w:p>
        </w:tc>
      </w:tr>
    </w:tbl>
    <w:p w14:paraId="25E45302" w14:textId="77777777" w:rsidR="001B40EE" w:rsidRDefault="001B40EE" w:rsidP="001B40EE"/>
    <w:p w14:paraId="4F48AE03" w14:textId="7993605A" w:rsidR="00E870F6" w:rsidRDefault="00E870F6" w:rsidP="001B40EE">
      <w:r>
        <w:t>The following table shows the total occupancy cost by academic division in the 2018/2019 RCM budget (version 2):</w:t>
      </w:r>
    </w:p>
    <w:tbl>
      <w:tblPr>
        <w:tblStyle w:val="TableGrid"/>
        <w:tblW w:w="0" w:type="auto"/>
        <w:tblInd w:w="720" w:type="dxa"/>
        <w:tblLook w:val="04A0" w:firstRow="1" w:lastRow="0" w:firstColumn="1" w:lastColumn="0" w:noHBand="0" w:noVBand="1"/>
      </w:tblPr>
      <w:tblGrid>
        <w:gridCol w:w="1748"/>
        <w:gridCol w:w="1720"/>
        <w:gridCol w:w="1721"/>
        <w:gridCol w:w="1720"/>
        <w:gridCol w:w="1721"/>
      </w:tblGrid>
      <w:tr w:rsidR="00F326F9" w:rsidRPr="00F326F9" w14:paraId="1018C322" w14:textId="77777777" w:rsidTr="00F326F9">
        <w:tc>
          <w:tcPr>
            <w:tcW w:w="1748" w:type="dxa"/>
            <w:shd w:val="clear" w:color="auto" w:fill="154734"/>
          </w:tcPr>
          <w:p w14:paraId="3248887A" w14:textId="77777777" w:rsidR="00E870F6" w:rsidRPr="00F326F9" w:rsidRDefault="00E870F6" w:rsidP="0030232D">
            <w:pPr>
              <w:rPr>
                <w:rFonts w:ascii="Arial" w:hAnsi="Arial" w:cs="Arial"/>
                <w:b/>
                <w:color w:val="FFFFFF" w:themeColor="background1"/>
                <w:sz w:val="18"/>
                <w:szCs w:val="18"/>
              </w:rPr>
            </w:pPr>
          </w:p>
        </w:tc>
        <w:tc>
          <w:tcPr>
            <w:tcW w:w="1720" w:type="dxa"/>
            <w:shd w:val="clear" w:color="auto" w:fill="154734"/>
          </w:tcPr>
          <w:p w14:paraId="23A86C91" w14:textId="77777777" w:rsidR="00E870F6" w:rsidRPr="00F326F9" w:rsidRDefault="00F326F9" w:rsidP="0030232D">
            <w:pPr>
              <w:rPr>
                <w:rFonts w:ascii="Arial" w:hAnsi="Arial" w:cs="Arial"/>
                <w:b/>
                <w:color w:val="FFFFFF" w:themeColor="background1"/>
                <w:sz w:val="18"/>
                <w:szCs w:val="18"/>
              </w:rPr>
            </w:pPr>
            <w:r w:rsidRPr="00F326F9">
              <w:rPr>
                <w:rFonts w:ascii="Arial" w:hAnsi="Arial" w:cs="Arial"/>
                <w:b/>
                <w:color w:val="FFFFFF" w:themeColor="background1"/>
                <w:sz w:val="18"/>
                <w:szCs w:val="18"/>
              </w:rPr>
              <w:t>Assigned Space</w:t>
            </w:r>
          </w:p>
        </w:tc>
        <w:tc>
          <w:tcPr>
            <w:tcW w:w="1721" w:type="dxa"/>
            <w:shd w:val="clear" w:color="auto" w:fill="154734"/>
          </w:tcPr>
          <w:p w14:paraId="0F59ABA7" w14:textId="77777777" w:rsidR="00E870F6" w:rsidRDefault="00F326F9" w:rsidP="0030232D">
            <w:pPr>
              <w:rPr>
                <w:rFonts w:ascii="Arial" w:hAnsi="Arial" w:cs="Arial"/>
                <w:b/>
                <w:color w:val="FFFFFF" w:themeColor="background1"/>
                <w:sz w:val="18"/>
                <w:szCs w:val="18"/>
              </w:rPr>
            </w:pPr>
            <w:r w:rsidRPr="00F326F9">
              <w:rPr>
                <w:rFonts w:ascii="Arial" w:hAnsi="Arial" w:cs="Arial"/>
                <w:b/>
                <w:color w:val="FFFFFF" w:themeColor="background1"/>
                <w:sz w:val="18"/>
                <w:szCs w:val="18"/>
              </w:rPr>
              <w:t>Classroom Space</w:t>
            </w:r>
          </w:p>
          <w:p w14:paraId="7E1AE940" w14:textId="77777777" w:rsidR="00F326F9" w:rsidRPr="00F326F9" w:rsidRDefault="00F326F9" w:rsidP="0030232D">
            <w:pPr>
              <w:rPr>
                <w:rFonts w:ascii="Arial" w:hAnsi="Arial" w:cs="Arial"/>
                <w:b/>
                <w:color w:val="FFFFFF" w:themeColor="background1"/>
                <w:sz w:val="18"/>
                <w:szCs w:val="18"/>
              </w:rPr>
            </w:pPr>
            <w:r>
              <w:rPr>
                <w:rFonts w:ascii="Arial" w:hAnsi="Arial" w:cs="Arial"/>
                <w:b/>
                <w:color w:val="FFFFFF" w:themeColor="background1"/>
                <w:sz w:val="18"/>
                <w:szCs w:val="18"/>
              </w:rPr>
              <w:t>(Driver: hours)</w:t>
            </w:r>
          </w:p>
        </w:tc>
        <w:tc>
          <w:tcPr>
            <w:tcW w:w="1720" w:type="dxa"/>
            <w:shd w:val="clear" w:color="auto" w:fill="154734"/>
          </w:tcPr>
          <w:p w14:paraId="6973364E" w14:textId="77777777" w:rsidR="00E870F6" w:rsidRDefault="00F326F9" w:rsidP="0030232D">
            <w:pPr>
              <w:rPr>
                <w:rFonts w:ascii="Arial" w:hAnsi="Arial" w:cs="Arial"/>
                <w:b/>
                <w:color w:val="FFFFFF" w:themeColor="background1"/>
                <w:sz w:val="18"/>
                <w:szCs w:val="18"/>
              </w:rPr>
            </w:pPr>
            <w:r w:rsidRPr="00F326F9">
              <w:rPr>
                <w:rFonts w:ascii="Arial" w:hAnsi="Arial" w:cs="Arial"/>
                <w:b/>
                <w:color w:val="FFFFFF" w:themeColor="background1"/>
                <w:sz w:val="18"/>
                <w:szCs w:val="18"/>
              </w:rPr>
              <w:t>Grad Student Offices</w:t>
            </w:r>
          </w:p>
          <w:p w14:paraId="03F74A7F" w14:textId="77777777" w:rsidR="00F326F9" w:rsidRPr="00F326F9" w:rsidRDefault="00F326F9" w:rsidP="0030232D">
            <w:pPr>
              <w:rPr>
                <w:rFonts w:ascii="Arial" w:hAnsi="Arial" w:cs="Arial"/>
                <w:b/>
                <w:color w:val="FFFFFF" w:themeColor="background1"/>
                <w:sz w:val="18"/>
                <w:szCs w:val="18"/>
              </w:rPr>
            </w:pPr>
            <w:r>
              <w:rPr>
                <w:rFonts w:ascii="Arial" w:hAnsi="Arial" w:cs="Arial"/>
                <w:b/>
                <w:color w:val="FFFFFF" w:themeColor="background1"/>
                <w:sz w:val="18"/>
                <w:szCs w:val="18"/>
              </w:rPr>
              <w:t>(Driver: Grad FTE)</w:t>
            </w:r>
          </w:p>
        </w:tc>
        <w:tc>
          <w:tcPr>
            <w:tcW w:w="1721" w:type="dxa"/>
            <w:shd w:val="clear" w:color="auto" w:fill="154734"/>
          </w:tcPr>
          <w:p w14:paraId="40F19CCA" w14:textId="77777777" w:rsidR="00E870F6" w:rsidRPr="00F326F9" w:rsidRDefault="00F326F9" w:rsidP="0030232D">
            <w:pPr>
              <w:rPr>
                <w:rFonts w:ascii="Arial" w:hAnsi="Arial" w:cs="Arial"/>
                <w:b/>
                <w:color w:val="FFFFFF" w:themeColor="background1"/>
                <w:sz w:val="18"/>
                <w:szCs w:val="18"/>
              </w:rPr>
            </w:pPr>
            <w:r w:rsidRPr="00F326F9">
              <w:rPr>
                <w:rFonts w:ascii="Arial" w:hAnsi="Arial" w:cs="Arial"/>
                <w:b/>
                <w:color w:val="FFFFFF" w:themeColor="background1"/>
                <w:sz w:val="18"/>
                <w:szCs w:val="18"/>
              </w:rPr>
              <w:t>Total</w:t>
            </w:r>
          </w:p>
        </w:tc>
      </w:tr>
      <w:tr w:rsidR="00F326F9" w:rsidRPr="00E870F6" w14:paraId="77392021" w14:textId="77777777" w:rsidTr="00F326F9">
        <w:tc>
          <w:tcPr>
            <w:tcW w:w="1748" w:type="dxa"/>
          </w:tcPr>
          <w:p w14:paraId="2102A959" w14:textId="77777777" w:rsidR="00E870F6" w:rsidRPr="00E870F6" w:rsidRDefault="00E870F6" w:rsidP="0030232D">
            <w:pPr>
              <w:rPr>
                <w:rFonts w:ascii="Arial" w:hAnsi="Arial" w:cs="Arial"/>
                <w:sz w:val="18"/>
                <w:szCs w:val="18"/>
              </w:rPr>
            </w:pPr>
            <w:r>
              <w:rPr>
                <w:rFonts w:ascii="Arial" w:hAnsi="Arial" w:cs="Arial"/>
                <w:sz w:val="18"/>
                <w:szCs w:val="18"/>
              </w:rPr>
              <w:t>Durham</w:t>
            </w:r>
          </w:p>
        </w:tc>
        <w:tc>
          <w:tcPr>
            <w:tcW w:w="1720" w:type="dxa"/>
          </w:tcPr>
          <w:p w14:paraId="7E27856F" w14:textId="77777777" w:rsidR="00E870F6" w:rsidRPr="00E870F6" w:rsidRDefault="00F326F9" w:rsidP="0030232D">
            <w:pPr>
              <w:rPr>
                <w:rFonts w:ascii="Arial" w:hAnsi="Arial" w:cs="Arial"/>
                <w:sz w:val="18"/>
                <w:szCs w:val="18"/>
              </w:rPr>
            </w:pPr>
            <w:r>
              <w:rPr>
                <w:rFonts w:ascii="Arial" w:hAnsi="Arial" w:cs="Arial"/>
                <w:sz w:val="18"/>
                <w:szCs w:val="18"/>
              </w:rPr>
              <w:t>$528,036</w:t>
            </w:r>
          </w:p>
        </w:tc>
        <w:tc>
          <w:tcPr>
            <w:tcW w:w="1721" w:type="dxa"/>
          </w:tcPr>
          <w:p w14:paraId="4D36E5D0" w14:textId="77777777" w:rsidR="00E870F6" w:rsidRPr="00E870F6" w:rsidRDefault="00F326F9" w:rsidP="0030232D">
            <w:pPr>
              <w:rPr>
                <w:rFonts w:ascii="Arial" w:hAnsi="Arial" w:cs="Arial"/>
                <w:sz w:val="18"/>
                <w:szCs w:val="18"/>
              </w:rPr>
            </w:pPr>
            <w:r>
              <w:rPr>
                <w:rFonts w:ascii="Arial" w:hAnsi="Arial" w:cs="Arial"/>
                <w:sz w:val="18"/>
                <w:szCs w:val="18"/>
              </w:rPr>
              <w:t>$0</w:t>
            </w:r>
          </w:p>
        </w:tc>
        <w:tc>
          <w:tcPr>
            <w:tcW w:w="1720" w:type="dxa"/>
          </w:tcPr>
          <w:p w14:paraId="4E1B4B62" w14:textId="77777777" w:rsidR="00E870F6" w:rsidRPr="00E870F6" w:rsidRDefault="00F326F9" w:rsidP="0030232D">
            <w:pPr>
              <w:rPr>
                <w:rFonts w:ascii="Arial" w:hAnsi="Arial" w:cs="Arial"/>
                <w:sz w:val="18"/>
                <w:szCs w:val="18"/>
              </w:rPr>
            </w:pPr>
            <w:r>
              <w:rPr>
                <w:rFonts w:ascii="Arial" w:hAnsi="Arial" w:cs="Arial"/>
                <w:sz w:val="18"/>
                <w:szCs w:val="18"/>
              </w:rPr>
              <w:t>$0</w:t>
            </w:r>
          </w:p>
        </w:tc>
        <w:tc>
          <w:tcPr>
            <w:tcW w:w="1721" w:type="dxa"/>
          </w:tcPr>
          <w:p w14:paraId="0827BAE2" w14:textId="77777777" w:rsidR="00E870F6" w:rsidRPr="00E870F6" w:rsidRDefault="00F326F9" w:rsidP="0030232D">
            <w:pPr>
              <w:rPr>
                <w:rFonts w:ascii="Arial" w:hAnsi="Arial" w:cs="Arial"/>
                <w:sz w:val="18"/>
                <w:szCs w:val="18"/>
              </w:rPr>
            </w:pPr>
            <w:r>
              <w:rPr>
                <w:rFonts w:ascii="Arial" w:hAnsi="Arial" w:cs="Arial"/>
                <w:sz w:val="18"/>
                <w:szCs w:val="18"/>
              </w:rPr>
              <w:t>$528,036</w:t>
            </w:r>
          </w:p>
        </w:tc>
      </w:tr>
      <w:tr w:rsidR="00F326F9" w:rsidRPr="00E870F6" w14:paraId="0B7C1A78" w14:textId="77777777" w:rsidTr="00F326F9">
        <w:tc>
          <w:tcPr>
            <w:tcW w:w="1748" w:type="dxa"/>
          </w:tcPr>
          <w:p w14:paraId="65927C62" w14:textId="77777777" w:rsidR="00E870F6" w:rsidRPr="00E870F6" w:rsidRDefault="00E870F6" w:rsidP="0030232D">
            <w:pPr>
              <w:rPr>
                <w:rFonts w:ascii="Arial" w:hAnsi="Arial" w:cs="Arial"/>
                <w:sz w:val="18"/>
                <w:szCs w:val="18"/>
              </w:rPr>
            </w:pPr>
            <w:r>
              <w:rPr>
                <w:rFonts w:ascii="Arial" w:hAnsi="Arial" w:cs="Arial"/>
                <w:sz w:val="18"/>
                <w:szCs w:val="18"/>
              </w:rPr>
              <w:t>Education</w:t>
            </w:r>
          </w:p>
        </w:tc>
        <w:tc>
          <w:tcPr>
            <w:tcW w:w="1720" w:type="dxa"/>
          </w:tcPr>
          <w:p w14:paraId="3FBAB91B" w14:textId="77777777" w:rsidR="00E870F6" w:rsidRPr="00E870F6" w:rsidRDefault="00F326F9" w:rsidP="0030232D">
            <w:pPr>
              <w:rPr>
                <w:rFonts w:ascii="Arial" w:hAnsi="Arial" w:cs="Arial"/>
                <w:sz w:val="18"/>
                <w:szCs w:val="18"/>
              </w:rPr>
            </w:pPr>
            <w:r>
              <w:rPr>
                <w:rFonts w:ascii="Arial" w:hAnsi="Arial" w:cs="Arial"/>
                <w:sz w:val="18"/>
                <w:szCs w:val="18"/>
              </w:rPr>
              <w:t>$329,383</w:t>
            </w:r>
          </w:p>
        </w:tc>
        <w:tc>
          <w:tcPr>
            <w:tcW w:w="1721" w:type="dxa"/>
          </w:tcPr>
          <w:p w14:paraId="795C2429" w14:textId="77777777" w:rsidR="00E870F6" w:rsidRPr="00E870F6" w:rsidRDefault="00F326F9" w:rsidP="0030232D">
            <w:pPr>
              <w:rPr>
                <w:rFonts w:ascii="Arial" w:hAnsi="Arial" w:cs="Arial"/>
                <w:sz w:val="18"/>
                <w:szCs w:val="18"/>
              </w:rPr>
            </w:pPr>
            <w:r>
              <w:rPr>
                <w:rFonts w:ascii="Arial" w:hAnsi="Arial" w:cs="Arial"/>
                <w:sz w:val="18"/>
                <w:szCs w:val="18"/>
              </w:rPr>
              <w:t>$4,115</w:t>
            </w:r>
          </w:p>
        </w:tc>
        <w:tc>
          <w:tcPr>
            <w:tcW w:w="1720" w:type="dxa"/>
          </w:tcPr>
          <w:p w14:paraId="5EE4338D" w14:textId="77777777" w:rsidR="00E870F6" w:rsidRPr="00E870F6" w:rsidRDefault="00F326F9" w:rsidP="0030232D">
            <w:pPr>
              <w:rPr>
                <w:rFonts w:ascii="Arial" w:hAnsi="Arial" w:cs="Arial"/>
                <w:sz w:val="18"/>
                <w:szCs w:val="18"/>
              </w:rPr>
            </w:pPr>
            <w:r>
              <w:rPr>
                <w:rFonts w:ascii="Arial" w:hAnsi="Arial" w:cs="Arial"/>
                <w:sz w:val="18"/>
                <w:szCs w:val="18"/>
              </w:rPr>
              <w:t>$3,521</w:t>
            </w:r>
          </w:p>
        </w:tc>
        <w:tc>
          <w:tcPr>
            <w:tcW w:w="1721" w:type="dxa"/>
          </w:tcPr>
          <w:p w14:paraId="739A8F65" w14:textId="77777777" w:rsidR="00E870F6" w:rsidRPr="00E870F6" w:rsidRDefault="00F326F9" w:rsidP="0030232D">
            <w:pPr>
              <w:rPr>
                <w:rFonts w:ascii="Arial" w:hAnsi="Arial" w:cs="Arial"/>
                <w:sz w:val="18"/>
                <w:szCs w:val="18"/>
              </w:rPr>
            </w:pPr>
            <w:r>
              <w:rPr>
                <w:rFonts w:ascii="Arial" w:hAnsi="Arial" w:cs="Arial"/>
                <w:sz w:val="18"/>
                <w:szCs w:val="18"/>
              </w:rPr>
              <w:t>$337,019</w:t>
            </w:r>
          </w:p>
        </w:tc>
      </w:tr>
      <w:tr w:rsidR="00F326F9" w:rsidRPr="00E870F6" w14:paraId="4CA60508" w14:textId="77777777" w:rsidTr="00F326F9">
        <w:tc>
          <w:tcPr>
            <w:tcW w:w="1748" w:type="dxa"/>
          </w:tcPr>
          <w:p w14:paraId="33101BFA" w14:textId="77777777" w:rsidR="00E870F6" w:rsidRPr="00E870F6" w:rsidRDefault="00E870F6" w:rsidP="0030232D">
            <w:pPr>
              <w:rPr>
                <w:rFonts w:ascii="Arial" w:hAnsi="Arial" w:cs="Arial"/>
                <w:sz w:val="18"/>
                <w:szCs w:val="18"/>
              </w:rPr>
            </w:pPr>
            <w:r>
              <w:rPr>
                <w:rFonts w:ascii="Arial" w:hAnsi="Arial" w:cs="Arial"/>
                <w:sz w:val="18"/>
                <w:szCs w:val="18"/>
              </w:rPr>
              <w:t>Nursing</w:t>
            </w:r>
          </w:p>
        </w:tc>
        <w:tc>
          <w:tcPr>
            <w:tcW w:w="1720" w:type="dxa"/>
          </w:tcPr>
          <w:p w14:paraId="0C0E0A02" w14:textId="77777777" w:rsidR="00E870F6" w:rsidRPr="00E870F6" w:rsidRDefault="00F326F9" w:rsidP="0030232D">
            <w:pPr>
              <w:rPr>
                <w:rFonts w:ascii="Arial" w:hAnsi="Arial" w:cs="Arial"/>
                <w:sz w:val="18"/>
                <w:szCs w:val="18"/>
              </w:rPr>
            </w:pPr>
            <w:r>
              <w:rPr>
                <w:rFonts w:ascii="Arial" w:hAnsi="Arial" w:cs="Arial"/>
                <w:sz w:val="18"/>
                <w:szCs w:val="18"/>
              </w:rPr>
              <w:t>$268,133</w:t>
            </w:r>
          </w:p>
        </w:tc>
        <w:tc>
          <w:tcPr>
            <w:tcW w:w="1721" w:type="dxa"/>
          </w:tcPr>
          <w:p w14:paraId="11A2AD72" w14:textId="77777777" w:rsidR="00E870F6" w:rsidRPr="00E870F6" w:rsidRDefault="00F326F9" w:rsidP="0030232D">
            <w:pPr>
              <w:rPr>
                <w:rFonts w:ascii="Arial" w:hAnsi="Arial" w:cs="Arial"/>
                <w:sz w:val="18"/>
                <w:szCs w:val="18"/>
              </w:rPr>
            </w:pPr>
            <w:r>
              <w:rPr>
                <w:rFonts w:ascii="Arial" w:hAnsi="Arial" w:cs="Arial"/>
                <w:sz w:val="18"/>
                <w:szCs w:val="18"/>
              </w:rPr>
              <w:t>$84,366</w:t>
            </w:r>
          </w:p>
        </w:tc>
        <w:tc>
          <w:tcPr>
            <w:tcW w:w="1720" w:type="dxa"/>
          </w:tcPr>
          <w:p w14:paraId="28E4A32A" w14:textId="77777777" w:rsidR="00E870F6" w:rsidRPr="00E870F6" w:rsidRDefault="00F326F9" w:rsidP="0030232D">
            <w:pPr>
              <w:rPr>
                <w:rFonts w:ascii="Arial" w:hAnsi="Arial" w:cs="Arial"/>
                <w:sz w:val="18"/>
                <w:szCs w:val="18"/>
              </w:rPr>
            </w:pPr>
            <w:r>
              <w:rPr>
                <w:rFonts w:ascii="Arial" w:hAnsi="Arial" w:cs="Arial"/>
                <w:sz w:val="18"/>
                <w:szCs w:val="18"/>
              </w:rPr>
              <w:t>$0</w:t>
            </w:r>
          </w:p>
        </w:tc>
        <w:tc>
          <w:tcPr>
            <w:tcW w:w="1721" w:type="dxa"/>
          </w:tcPr>
          <w:p w14:paraId="6654574D" w14:textId="77777777" w:rsidR="00E870F6" w:rsidRPr="00E870F6" w:rsidRDefault="00F326F9" w:rsidP="0030232D">
            <w:pPr>
              <w:rPr>
                <w:rFonts w:ascii="Arial" w:hAnsi="Arial" w:cs="Arial"/>
                <w:sz w:val="18"/>
                <w:szCs w:val="18"/>
              </w:rPr>
            </w:pPr>
            <w:r>
              <w:rPr>
                <w:rFonts w:ascii="Arial" w:hAnsi="Arial" w:cs="Arial"/>
                <w:sz w:val="18"/>
                <w:szCs w:val="18"/>
              </w:rPr>
              <w:t>$352,499</w:t>
            </w:r>
          </w:p>
        </w:tc>
      </w:tr>
      <w:tr w:rsidR="00F326F9" w:rsidRPr="00E870F6" w14:paraId="7F22A144" w14:textId="77777777" w:rsidTr="00F326F9">
        <w:tc>
          <w:tcPr>
            <w:tcW w:w="1748" w:type="dxa"/>
          </w:tcPr>
          <w:p w14:paraId="181BD881" w14:textId="77777777" w:rsidR="00E870F6" w:rsidRPr="00E870F6" w:rsidRDefault="00E870F6" w:rsidP="0030232D">
            <w:pPr>
              <w:rPr>
                <w:rFonts w:ascii="Arial" w:hAnsi="Arial" w:cs="Arial"/>
                <w:sz w:val="18"/>
                <w:szCs w:val="18"/>
              </w:rPr>
            </w:pPr>
            <w:r>
              <w:rPr>
                <w:rFonts w:ascii="Arial" w:hAnsi="Arial" w:cs="Arial"/>
                <w:sz w:val="18"/>
                <w:szCs w:val="18"/>
              </w:rPr>
              <w:t>Humanities</w:t>
            </w:r>
          </w:p>
        </w:tc>
        <w:tc>
          <w:tcPr>
            <w:tcW w:w="1720" w:type="dxa"/>
          </w:tcPr>
          <w:p w14:paraId="7F4D831C" w14:textId="77777777" w:rsidR="00E870F6" w:rsidRPr="00E870F6" w:rsidRDefault="00F326F9" w:rsidP="0030232D">
            <w:pPr>
              <w:rPr>
                <w:rFonts w:ascii="Arial" w:hAnsi="Arial" w:cs="Arial"/>
                <w:sz w:val="18"/>
                <w:szCs w:val="18"/>
              </w:rPr>
            </w:pPr>
            <w:r>
              <w:rPr>
                <w:rFonts w:ascii="Arial" w:hAnsi="Arial" w:cs="Arial"/>
                <w:sz w:val="18"/>
                <w:szCs w:val="18"/>
              </w:rPr>
              <w:t>$353,699</w:t>
            </w:r>
          </w:p>
        </w:tc>
        <w:tc>
          <w:tcPr>
            <w:tcW w:w="1721" w:type="dxa"/>
          </w:tcPr>
          <w:p w14:paraId="5BABB67E" w14:textId="77777777" w:rsidR="00E870F6" w:rsidRPr="00E870F6" w:rsidRDefault="00F326F9" w:rsidP="0030232D">
            <w:pPr>
              <w:rPr>
                <w:rFonts w:ascii="Arial" w:hAnsi="Arial" w:cs="Arial"/>
                <w:sz w:val="18"/>
                <w:szCs w:val="18"/>
              </w:rPr>
            </w:pPr>
            <w:r>
              <w:rPr>
                <w:rFonts w:ascii="Arial" w:hAnsi="Arial" w:cs="Arial"/>
                <w:sz w:val="18"/>
                <w:szCs w:val="18"/>
              </w:rPr>
              <w:t>$396,453</w:t>
            </w:r>
          </w:p>
        </w:tc>
        <w:tc>
          <w:tcPr>
            <w:tcW w:w="1720" w:type="dxa"/>
          </w:tcPr>
          <w:p w14:paraId="6584DA36" w14:textId="77777777" w:rsidR="00E870F6" w:rsidRPr="00E870F6" w:rsidRDefault="00F326F9" w:rsidP="0030232D">
            <w:pPr>
              <w:rPr>
                <w:rFonts w:ascii="Arial" w:hAnsi="Arial" w:cs="Arial"/>
                <w:sz w:val="18"/>
                <w:szCs w:val="18"/>
              </w:rPr>
            </w:pPr>
            <w:r>
              <w:rPr>
                <w:rFonts w:ascii="Arial" w:hAnsi="Arial" w:cs="Arial"/>
                <w:sz w:val="18"/>
                <w:szCs w:val="18"/>
              </w:rPr>
              <w:t>$20,002</w:t>
            </w:r>
          </w:p>
        </w:tc>
        <w:tc>
          <w:tcPr>
            <w:tcW w:w="1721" w:type="dxa"/>
          </w:tcPr>
          <w:p w14:paraId="34B42CAC" w14:textId="77777777" w:rsidR="00E870F6" w:rsidRPr="00E870F6" w:rsidRDefault="00F326F9" w:rsidP="0030232D">
            <w:pPr>
              <w:rPr>
                <w:rFonts w:ascii="Arial" w:hAnsi="Arial" w:cs="Arial"/>
                <w:sz w:val="18"/>
                <w:szCs w:val="18"/>
              </w:rPr>
            </w:pPr>
            <w:r>
              <w:rPr>
                <w:rFonts w:ascii="Arial" w:hAnsi="Arial" w:cs="Arial"/>
                <w:sz w:val="18"/>
                <w:szCs w:val="18"/>
              </w:rPr>
              <w:t>$770,154</w:t>
            </w:r>
          </w:p>
        </w:tc>
      </w:tr>
      <w:tr w:rsidR="00F326F9" w:rsidRPr="00E870F6" w14:paraId="4F02567D" w14:textId="77777777" w:rsidTr="00F326F9">
        <w:tc>
          <w:tcPr>
            <w:tcW w:w="1748" w:type="dxa"/>
          </w:tcPr>
          <w:p w14:paraId="6E91A549" w14:textId="77777777" w:rsidR="00E870F6" w:rsidRPr="00E870F6" w:rsidRDefault="00E870F6" w:rsidP="0030232D">
            <w:pPr>
              <w:rPr>
                <w:rFonts w:ascii="Arial" w:hAnsi="Arial" w:cs="Arial"/>
                <w:sz w:val="18"/>
                <w:szCs w:val="18"/>
              </w:rPr>
            </w:pPr>
            <w:r>
              <w:rPr>
                <w:rFonts w:ascii="Arial" w:hAnsi="Arial" w:cs="Arial"/>
                <w:sz w:val="18"/>
                <w:szCs w:val="18"/>
              </w:rPr>
              <w:t>Science</w:t>
            </w:r>
          </w:p>
        </w:tc>
        <w:tc>
          <w:tcPr>
            <w:tcW w:w="1720" w:type="dxa"/>
          </w:tcPr>
          <w:p w14:paraId="647EDDD3" w14:textId="77777777" w:rsidR="00E870F6" w:rsidRPr="00E870F6" w:rsidRDefault="00F326F9" w:rsidP="0030232D">
            <w:pPr>
              <w:rPr>
                <w:rFonts w:ascii="Arial" w:hAnsi="Arial" w:cs="Arial"/>
                <w:sz w:val="18"/>
                <w:szCs w:val="18"/>
              </w:rPr>
            </w:pPr>
            <w:r>
              <w:rPr>
                <w:rFonts w:ascii="Arial" w:hAnsi="Arial" w:cs="Arial"/>
                <w:sz w:val="18"/>
                <w:szCs w:val="18"/>
              </w:rPr>
              <w:t>$4,094,704</w:t>
            </w:r>
          </w:p>
        </w:tc>
        <w:tc>
          <w:tcPr>
            <w:tcW w:w="1721" w:type="dxa"/>
          </w:tcPr>
          <w:p w14:paraId="7210CEAD" w14:textId="77777777" w:rsidR="00E870F6" w:rsidRPr="00E870F6" w:rsidRDefault="00F326F9" w:rsidP="0030232D">
            <w:pPr>
              <w:rPr>
                <w:rFonts w:ascii="Arial" w:hAnsi="Arial" w:cs="Arial"/>
                <w:sz w:val="18"/>
                <w:szCs w:val="18"/>
              </w:rPr>
            </w:pPr>
            <w:r>
              <w:rPr>
                <w:rFonts w:ascii="Arial" w:hAnsi="Arial" w:cs="Arial"/>
                <w:sz w:val="18"/>
                <w:szCs w:val="18"/>
              </w:rPr>
              <w:t>$523,345</w:t>
            </w:r>
          </w:p>
        </w:tc>
        <w:tc>
          <w:tcPr>
            <w:tcW w:w="1720" w:type="dxa"/>
          </w:tcPr>
          <w:p w14:paraId="09D5B9B0" w14:textId="77777777" w:rsidR="00E870F6" w:rsidRPr="00E870F6" w:rsidRDefault="00F326F9" w:rsidP="0030232D">
            <w:pPr>
              <w:rPr>
                <w:rFonts w:ascii="Arial" w:hAnsi="Arial" w:cs="Arial"/>
                <w:sz w:val="18"/>
                <w:szCs w:val="18"/>
              </w:rPr>
            </w:pPr>
            <w:r>
              <w:rPr>
                <w:rFonts w:ascii="Arial" w:hAnsi="Arial" w:cs="Arial"/>
                <w:sz w:val="18"/>
                <w:szCs w:val="18"/>
              </w:rPr>
              <w:t>$74,342</w:t>
            </w:r>
          </w:p>
        </w:tc>
        <w:tc>
          <w:tcPr>
            <w:tcW w:w="1721" w:type="dxa"/>
          </w:tcPr>
          <w:p w14:paraId="67414BB5" w14:textId="77777777" w:rsidR="00E870F6" w:rsidRPr="00E870F6" w:rsidRDefault="00F326F9" w:rsidP="0030232D">
            <w:pPr>
              <w:rPr>
                <w:rFonts w:ascii="Arial" w:hAnsi="Arial" w:cs="Arial"/>
                <w:sz w:val="18"/>
                <w:szCs w:val="18"/>
              </w:rPr>
            </w:pPr>
            <w:r>
              <w:rPr>
                <w:rFonts w:ascii="Arial" w:hAnsi="Arial" w:cs="Arial"/>
                <w:sz w:val="18"/>
                <w:szCs w:val="18"/>
              </w:rPr>
              <w:t>$4,692,391</w:t>
            </w:r>
          </w:p>
        </w:tc>
      </w:tr>
      <w:tr w:rsidR="00F326F9" w:rsidRPr="00E870F6" w14:paraId="0D558CCC" w14:textId="77777777" w:rsidTr="00F326F9">
        <w:tc>
          <w:tcPr>
            <w:tcW w:w="1748" w:type="dxa"/>
          </w:tcPr>
          <w:p w14:paraId="27BCDD4B" w14:textId="77777777" w:rsidR="00F326F9" w:rsidRDefault="00F326F9" w:rsidP="0030232D">
            <w:pPr>
              <w:rPr>
                <w:rFonts w:ascii="Arial" w:hAnsi="Arial" w:cs="Arial"/>
                <w:sz w:val="18"/>
                <w:szCs w:val="18"/>
              </w:rPr>
            </w:pPr>
            <w:r>
              <w:rPr>
                <w:rFonts w:ascii="Arial" w:hAnsi="Arial" w:cs="Arial"/>
                <w:sz w:val="18"/>
                <w:szCs w:val="18"/>
              </w:rPr>
              <w:t>Social Science</w:t>
            </w:r>
          </w:p>
        </w:tc>
        <w:tc>
          <w:tcPr>
            <w:tcW w:w="1720" w:type="dxa"/>
          </w:tcPr>
          <w:p w14:paraId="13823E98" w14:textId="77777777" w:rsidR="00F326F9" w:rsidRPr="00E870F6" w:rsidRDefault="00F326F9" w:rsidP="0030232D">
            <w:pPr>
              <w:rPr>
                <w:rFonts w:ascii="Arial" w:hAnsi="Arial" w:cs="Arial"/>
                <w:sz w:val="18"/>
                <w:szCs w:val="18"/>
              </w:rPr>
            </w:pPr>
            <w:r>
              <w:rPr>
                <w:rFonts w:ascii="Arial" w:hAnsi="Arial" w:cs="Arial"/>
                <w:sz w:val="18"/>
                <w:szCs w:val="18"/>
              </w:rPr>
              <w:t>$719,053</w:t>
            </w:r>
          </w:p>
        </w:tc>
        <w:tc>
          <w:tcPr>
            <w:tcW w:w="1721" w:type="dxa"/>
          </w:tcPr>
          <w:p w14:paraId="06A8177A" w14:textId="77777777" w:rsidR="00F326F9" w:rsidRPr="00E870F6" w:rsidRDefault="00F326F9" w:rsidP="0030232D">
            <w:pPr>
              <w:rPr>
                <w:rFonts w:ascii="Arial" w:hAnsi="Arial" w:cs="Arial"/>
                <w:sz w:val="18"/>
                <w:szCs w:val="18"/>
              </w:rPr>
            </w:pPr>
            <w:r>
              <w:rPr>
                <w:rFonts w:ascii="Arial" w:hAnsi="Arial" w:cs="Arial"/>
                <w:sz w:val="18"/>
                <w:szCs w:val="18"/>
              </w:rPr>
              <w:t>$350,154</w:t>
            </w:r>
          </w:p>
        </w:tc>
        <w:tc>
          <w:tcPr>
            <w:tcW w:w="1720" w:type="dxa"/>
          </w:tcPr>
          <w:p w14:paraId="79995705" w14:textId="77777777" w:rsidR="00F326F9" w:rsidRPr="00E870F6" w:rsidRDefault="00F326F9" w:rsidP="0030232D">
            <w:pPr>
              <w:rPr>
                <w:rFonts w:ascii="Arial" w:hAnsi="Arial" w:cs="Arial"/>
                <w:sz w:val="18"/>
                <w:szCs w:val="18"/>
              </w:rPr>
            </w:pPr>
            <w:r>
              <w:rPr>
                <w:rFonts w:ascii="Arial" w:hAnsi="Arial" w:cs="Arial"/>
                <w:sz w:val="18"/>
                <w:szCs w:val="18"/>
              </w:rPr>
              <w:t>$19,491</w:t>
            </w:r>
          </w:p>
        </w:tc>
        <w:tc>
          <w:tcPr>
            <w:tcW w:w="1721" w:type="dxa"/>
          </w:tcPr>
          <w:p w14:paraId="0AAC4166" w14:textId="77777777" w:rsidR="00F326F9" w:rsidRPr="00E870F6" w:rsidRDefault="00F326F9" w:rsidP="0030232D">
            <w:pPr>
              <w:rPr>
                <w:rFonts w:ascii="Arial" w:hAnsi="Arial" w:cs="Arial"/>
                <w:sz w:val="18"/>
                <w:szCs w:val="18"/>
              </w:rPr>
            </w:pPr>
            <w:r>
              <w:rPr>
                <w:rFonts w:ascii="Arial" w:hAnsi="Arial" w:cs="Arial"/>
                <w:sz w:val="18"/>
                <w:szCs w:val="18"/>
              </w:rPr>
              <w:t>$1,088,698</w:t>
            </w:r>
          </w:p>
        </w:tc>
      </w:tr>
      <w:tr w:rsidR="00F326F9" w:rsidRPr="00F326F9" w14:paraId="4A5AC00D" w14:textId="77777777" w:rsidTr="00F326F9">
        <w:tc>
          <w:tcPr>
            <w:tcW w:w="1748" w:type="dxa"/>
          </w:tcPr>
          <w:p w14:paraId="26071E11" w14:textId="77777777" w:rsidR="00E870F6" w:rsidRPr="00F326F9" w:rsidRDefault="00F326F9" w:rsidP="0030232D">
            <w:pPr>
              <w:rPr>
                <w:rFonts w:ascii="Arial" w:hAnsi="Arial" w:cs="Arial"/>
                <w:b/>
                <w:sz w:val="18"/>
                <w:szCs w:val="18"/>
              </w:rPr>
            </w:pPr>
            <w:r w:rsidRPr="00F326F9">
              <w:rPr>
                <w:rFonts w:ascii="Arial" w:hAnsi="Arial" w:cs="Arial"/>
                <w:b/>
                <w:sz w:val="18"/>
                <w:szCs w:val="18"/>
              </w:rPr>
              <w:t>Total</w:t>
            </w:r>
          </w:p>
        </w:tc>
        <w:tc>
          <w:tcPr>
            <w:tcW w:w="1720" w:type="dxa"/>
          </w:tcPr>
          <w:p w14:paraId="7A192F3D" w14:textId="77777777" w:rsidR="00E870F6" w:rsidRPr="00F326F9" w:rsidRDefault="00F326F9" w:rsidP="0030232D">
            <w:pPr>
              <w:rPr>
                <w:rFonts w:ascii="Arial" w:hAnsi="Arial" w:cs="Arial"/>
                <w:b/>
                <w:sz w:val="18"/>
                <w:szCs w:val="18"/>
              </w:rPr>
            </w:pPr>
            <w:r w:rsidRPr="00F326F9">
              <w:rPr>
                <w:rFonts w:ascii="Arial" w:hAnsi="Arial" w:cs="Arial"/>
                <w:b/>
                <w:sz w:val="18"/>
                <w:szCs w:val="18"/>
              </w:rPr>
              <w:t>$6,293,008</w:t>
            </w:r>
          </w:p>
        </w:tc>
        <w:tc>
          <w:tcPr>
            <w:tcW w:w="1721" w:type="dxa"/>
          </w:tcPr>
          <w:p w14:paraId="333638CA" w14:textId="77777777" w:rsidR="00E870F6" w:rsidRPr="00F326F9" w:rsidRDefault="00F326F9" w:rsidP="0030232D">
            <w:pPr>
              <w:rPr>
                <w:rFonts w:ascii="Arial" w:hAnsi="Arial" w:cs="Arial"/>
                <w:b/>
                <w:sz w:val="18"/>
                <w:szCs w:val="18"/>
              </w:rPr>
            </w:pPr>
            <w:r w:rsidRPr="00F326F9">
              <w:rPr>
                <w:rFonts w:ascii="Arial" w:hAnsi="Arial" w:cs="Arial"/>
                <w:b/>
                <w:sz w:val="18"/>
                <w:szCs w:val="18"/>
              </w:rPr>
              <w:t>$1,358,433</w:t>
            </w:r>
          </w:p>
        </w:tc>
        <w:tc>
          <w:tcPr>
            <w:tcW w:w="1720" w:type="dxa"/>
          </w:tcPr>
          <w:p w14:paraId="422D5A26" w14:textId="77777777" w:rsidR="00E870F6" w:rsidRPr="00F326F9" w:rsidRDefault="00F326F9" w:rsidP="0030232D">
            <w:pPr>
              <w:rPr>
                <w:rFonts w:ascii="Arial" w:hAnsi="Arial" w:cs="Arial"/>
                <w:b/>
                <w:sz w:val="18"/>
                <w:szCs w:val="18"/>
              </w:rPr>
            </w:pPr>
            <w:r w:rsidRPr="00F326F9">
              <w:rPr>
                <w:rFonts w:ascii="Arial" w:hAnsi="Arial" w:cs="Arial"/>
                <w:b/>
                <w:sz w:val="18"/>
                <w:szCs w:val="18"/>
              </w:rPr>
              <w:t>$117,356</w:t>
            </w:r>
          </w:p>
        </w:tc>
        <w:tc>
          <w:tcPr>
            <w:tcW w:w="1721" w:type="dxa"/>
          </w:tcPr>
          <w:p w14:paraId="60E8498E" w14:textId="77777777" w:rsidR="00E870F6" w:rsidRPr="00F326F9" w:rsidRDefault="00F326F9" w:rsidP="0030232D">
            <w:pPr>
              <w:rPr>
                <w:rFonts w:ascii="Arial" w:hAnsi="Arial" w:cs="Arial"/>
                <w:b/>
                <w:sz w:val="18"/>
                <w:szCs w:val="18"/>
              </w:rPr>
            </w:pPr>
            <w:r w:rsidRPr="00F326F9">
              <w:rPr>
                <w:rFonts w:ascii="Arial" w:hAnsi="Arial" w:cs="Arial"/>
                <w:b/>
                <w:sz w:val="18"/>
                <w:szCs w:val="18"/>
              </w:rPr>
              <w:t>$7,768,797</w:t>
            </w:r>
          </w:p>
        </w:tc>
      </w:tr>
    </w:tbl>
    <w:p w14:paraId="1686890B" w14:textId="77777777" w:rsidR="007E7147" w:rsidRPr="007E7147" w:rsidRDefault="007E7147" w:rsidP="007E7147">
      <w:pPr>
        <w:pStyle w:val="ListParagraph"/>
        <w:spacing w:after="240" w:line="240" w:lineRule="auto"/>
        <w:jc w:val="both"/>
        <w:rPr>
          <w:rFonts w:ascii="Arial" w:hAnsi="Arial" w:cs="Arial"/>
          <w:sz w:val="24"/>
          <w:szCs w:val="24"/>
        </w:rPr>
      </w:pPr>
    </w:p>
    <w:p w14:paraId="200591C4" w14:textId="77777777" w:rsidR="001B40EE" w:rsidRPr="001B40EE" w:rsidRDefault="001B40EE" w:rsidP="009B215B">
      <w:pPr>
        <w:pStyle w:val="ListParagraph"/>
        <w:numPr>
          <w:ilvl w:val="0"/>
          <w:numId w:val="25"/>
        </w:numPr>
      </w:pPr>
    </w:p>
    <w:p w14:paraId="42442810" w14:textId="4351465F" w:rsidR="00F326F9" w:rsidRDefault="00F326F9" w:rsidP="009B215B">
      <w:pPr>
        <w:pStyle w:val="ListParagraph"/>
        <w:numPr>
          <w:ilvl w:val="0"/>
          <w:numId w:val="25"/>
        </w:numPr>
      </w:pPr>
      <w:r w:rsidRPr="009B215B">
        <w:rPr>
          <w:b/>
          <w:color w:val="154734"/>
        </w:rPr>
        <w:lastRenderedPageBreak/>
        <w:t xml:space="preserve">Principal and Interest:  </w:t>
      </w:r>
      <w:r w:rsidRPr="00F326F9">
        <w:t xml:space="preserve">The total annual principal and interest payments related to academic and administrative space will be attributed </w:t>
      </w:r>
      <w:proofErr w:type="gramStart"/>
      <w:r w:rsidRPr="00F326F9">
        <w:t>on the basis of</w:t>
      </w:r>
      <w:proofErr w:type="gramEnd"/>
      <w:r w:rsidRPr="00F326F9">
        <w:t xml:space="preserve"> each division’s proportionate share of total revenue.  This cost bin excludes </w:t>
      </w:r>
      <w:proofErr w:type="gramStart"/>
      <w:r w:rsidRPr="00F326F9">
        <w:t>principal</w:t>
      </w:r>
      <w:proofErr w:type="gramEnd"/>
      <w:r w:rsidRPr="00F326F9">
        <w:t xml:space="preserve"> and interest related to Housing, Dining and colleges as these costs are allocated directly to the respective ancillary functions.  The 2018/2019 RCM budget (version 2) estimates these charges to be approximately $2.992 million.</w:t>
      </w:r>
    </w:p>
    <w:p w14:paraId="4BC1C913" w14:textId="77777777" w:rsidR="00F326F9" w:rsidRDefault="00F326F9" w:rsidP="009B215B"/>
    <w:p w14:paraId="644BC0E1" w14:textId="77777777" w:rsidR="00E870F6" w:rsidRDefault="007E7147" w:rsidP="009B215B">
      <w:pPr>
        <w:pStyle w:val="ListParagraph"/>
        <w:numPr>
          <w:ilvl w:val="0"/>
          <w:numId w:val="25"/>
        </w:numPr>
      </w:pPr>
      <w:r w:rsidRPr="009B215B">
        <w:rPr>
          <w:b/>
          <w:color w:val="154734"/>
        </w:rPr>
        <w:t>University Management</w:t>
      </w:r>
      <w:r w:rsidRPr="007E7147">
        <w:t>:  University Management costs include the offices of the President and the</w:t>
      </w:r>
      <w:r>
        <w:t xml:space="preserve"> Vice Presidents, University Secretariat, Human Rights, Institutional Planning and Analysis, Finance, Risk Management, Security </w:t>
      </w:r>
      <w:r w:rsidR="00E37D08">
        <w:t>and</w:t>
      </w:r>
      <w:r>
        <w:t xml:space="preserve"> Safety, Mail, Convocation, Advancement, Alumni, Community and Government Relations and general University expenses such as insurance, audit and legal fees. These costs are reduced by administrative departmental revenues such as convocation fees, donation revenue, and cost recoveries.  The net cost will be attributed to academic divisions based on total revenue.</w:t>
      </w:r>
      <w:r w:rsidRPr="007E7147">
        <w:t xml:space="preserve"> </w:t>
      </w:r>
      <w:r>
        <w:t xml:space="preserve"> </w:t>
      </w:r>
      <w:r w:rsidRPr="00F326F9">
        <w:t xml:space="preserve">The 2018/2019 RCM budget (version 2) estimates these </w:t>
      </w:r>
      <w:r>
        <w:t>costs</w:t>
      </w:r>
      <w:r w:rsidRPr="00F326F9">
        <w:t xml:space="preserve"> to be approximately $</w:t>
      </w:r>
      <w:r>
        <w:t>15.625</w:t>
      </w:r>
      <w:r w:rsidRPr="00F326F9">
        <w:t xml:space="preserve"> million.</w:t>
      </w:r>
    </w:p>
    <w:p w14:paraId="493375EB" w14:textId="77777777" w:rsidR="007E7147" w:rsidRPr="007E7147" w:rsidRDefault="007E7147" w:rsidP="009B215B"/>
    <w:p w14:paraId="563F8DB7" w14:textId="77777777" w:rsidR="00E37D08" w:rsidRDefault="007E7147" w:rsidP="009B215B">
      <w:pPr>
        <w:pStyle w:val="ListParagraph"/>
        <w:numPr>
          <w:ilvl w:val="0"/>
          <w:numId w:val="25"/>
        </w:numPr>
      </w:pPr>
      <w:r w:rsidRPr="009B215B">
        <w:rPr>
          <w:b/>
          <w:color w:val="154734"/>
        </w:rPr>
        <w:t>Information Technology</w:t>
      </w:r>
      <w:r w:rsidRPr="00E37D08">
        <w:t>:  Information Technology costs include client services, learning management system support costs, information systems, digital services, AV operations, and the office of the Associate Vice-President, IT.  The costs are reduced by miscellaneous revenue</w:t>
      </w:r>
      <w:r w:rsidR="008E21EA">
        <w:t>,</w:t>
      </w:r>
      <w:r w:rsidRPr="00E37D08">
        <w:t xml:space="preserve"> such as costs recoveries from student housing, student printing, and telephone equipment.  IT estimates that 57% of the net costs relate to </w:t>
      </w:r>
      <w:r w:rsidR="0029480C">
        <w:t xml:space="preserve">the provision of </w:t>
      </w:r>
      <w:r w:rsidRPr="00E37D08">
        <w:t>services</w:t>
      </w:r>
      <w:r w:rsidR="008E21EA">
        <w:t xml:space="preserve"> to faculty and staff (administrative services)</w:t>
      </w:r>
      <w:r w:rsidRPr="00E37D08">
        <w:t xml:space="preserve">.  Accordingly, 57% of the costs will be attributed </w:t>
      </w:r>
      <w:proofErr w:type="gramStart"/>
      <w:r w:rsidRPr="00E37D08">
        <w:t>on the basis of</w:t>
      </w:r>
      <w:proofErr w:type="gramEnd"/>
      <w:r w:rsidRPr="00E37D08">
        <w:t xml:space="preserve"> faculty and staff FTEs.  The balance of 43% is estimated to be th</w:t>
      </w:r>
      <w:r w:rsidR="006E4CDA">
        <w:t xml:space="preserve">e cost of providing </w:t>
      </w:r>
      <w:r w:rsidR="0029480C">
        <w:t>IT</w:t>
      </w:r>
      <w:r w:rsidR="006E4CDA">
        <w:t xml:space="preserve"> </w:t>
      </w:r>
      <w:r w:rsidR="0029480C">
        <w:t>services</w:t>
      </w:r>
      <w:r w:rsidRPr="00E37D08">
        <w:t xml:space="preserve"> </w:t>
      </w:r>
      <w:r w:rsidR="008E21EA">
        <w:t xml:space="preserve">to students (academic services) </w:t>
      </w:r>
      <w:r w:rsidRPr="00E37D08">
        <w:t xml:space="preserve">and will be attributed </w:t>
      </w:r>
      <w:proofErr w:type="gramStart"/>
      <w:r w:rsidRPr="00E37D08">
        <w:t>on the basis of</w:t>
      </w:r>
      <w:proofErr w:type="gramEnd"/>
      <w:r w:rsidRPr="00E37D08">
        <w:t xml:space="preserve"> undergraduate and graduate </w:t>
      </w:r>
      <w:r w:rsidR="0029480C">
        <w:t xml:space="preserve">student </w:t>
      </w:r>
      <w:r w:rsidRPr="00E37D08">
        <w:t>FTEs</w:t>
      </w:r>
      <w:r w:rsidR="00E37D08">
        <w:t>.</w:t>
      </w:r>
    </w:p>
    <w:p w14:paraId="5F2C7B0C" w14:textId="77777777" w:rsidR="00E37D08" w:rsidRPr="00E37D08" w:rsidRDefault="00E37D08" w:rsidP="00E37D08">
      <w:pPr>
        <w:pStyle w:val="ListParagraph"/>
        <w:rPr>
          <w:rFonts w:ascii="Arial" w:hAnsi="Arial" w:cs="Arial"/>
          <w:sz w:val="24"/>
          <w:szCs w:val="24"/>
        </w:rPr>
      </w:pPr>
    </w:p>
    <w:p w14:paraId="487965D5" w14:textId="77777777" w:rsidR="00E37D08" w:rsidRDefault="00E37D08" w:rsidP="00D6417A">
      <w:pPr>
        <w:pStyle w:val="ListParagraph"/>
        <w:spacing w:after="240" w:line="240" w:lineRule="auto"/>
        <w:jc w:val="both"/>
        <w:rPr>
          <w:rFonts w:ascii="Arial" w:hAnsi="Arial" w:cs="Arial"/>
          <w:sz w:val="24"/>
          <w:szCs w:val="24"/>
        </w:rPr>
      </w:pPr>
    </w:p>
    <w:p w14:paraId="2941F3F8" w14:textId="77777777" w:rsidR="001B40EE" w:rsidRDefault="001B40EE" w:rsidP="009B215B"/>
    <w:p w14:paraId="47CC2939" w14:textId="77777777" w:rsidR="001B40EE" w:rsidRDefault="001B40EE" w:rsidP="009B215B"/>
    <w:p w14:paraId="522A70AF" w14:textId="77777777" w:rsidR="001B40EE" w:rsidRDefault="001B40EE" w:rsidP="009B215B"/>
    <w:p w14:paraId="2B6D9ED7" w14:textId="77777777" w:rsidR="001B40EE" w:rsidRDefault="001B40EE" w:rsidP="009B215B"/>
    <w:p w14:paraId="0FDF3DDA" w14:textId="77777777" w:rsidR="001B40EE" w:rsidRDefault="001B40EE" w:rsidP="009B215B"/>
    <w:p w14:paraId="0343FC5D" w14:textId="77777777" w:rsidR="001B40EE" w:rsidRDefault="001B40EE" w:rsidP="009B215B"/>
    <w:p w14:paraId="2C0455CA" w14:textId="77777777" w:rsidR="001B40EE" w:rsidRDefault="001B40EE" w:rsidP="009B215B"/>
    <w:p w14:paraId="021BECA6" w14:textId="6235261F" w:rsidR="00175AF6" w:rsidRDefault="00175AF6" w:rsidP="009B215B">
      <w:r>
        <w:lastRenderedPageBreak/>
        <w:t xml:space="preserve">The allocation of the Information Technology </w:t>
      </w:r>
      <w:r w:rsidR="00CD7F1B">
        <w:t>costs</w:t>
      </w:r>
      <w:r>
        <w:t xml:space="preserve"> </w:t>
      </w:r>
      <w:r w:rsidR="00CD7F1B">
        <w:t>in t</w:t>
      </w:r>
      <w:r w:rsidR="00CD7F1B" w:rsidRPr="00F326F9">
        <w:t xml:space="preserve">he 2018/2019 RCM budget (version 2) </w:t>
      </w:r>
      <w:r>
        <w:t>is shown in the following table:</w:t>
      </w:r>
    </w:p>
    <w:tbl>
      <w:tblPr>
        <w:tblStyle w:val="TableGrid"/>
        <w:tblW w:w="0" w:type="auto"/>
        <w:tblInd w:w="715" w:type="dxa"/>
        <w:tblLook w:val="04A0" w:firstRow="1" w:lastRow="0" w:firstColumn="1" w:lastColumn="0" w:noHBand="0" w:noVBand="1"/>
      </w:tblPr>
      <w:tblGrid>
        <w:gridCol w:w="1439"/>
        <w:gridCol w:w="1439"/>
        <w:gridCol w:w="1439"/>
        <w:gridCol w:w="1439"/>
        <w:gridCol w:w="1439"/>
        <w:gridCol w:w="1440"/>
      </w:tblGrid>
      <w:tr w:rsidR="001B40EE" w:rsidRPr="00175AF6" w14:paraId="3AEB954D" w14:textId="77777777" w:rsidTr="001902CF">
        <w:tc>
          <w:tcPr>
            <w:tcW w:w="1439" w:type="dxa"/>
            <w:shd w:val="clear" w:color="auto" w:fill="154734"/>
          </w:tcPr>
          <w:p w14:paraId="04524AB0" w14:textId="77777777" w:rsidR="001B40EE" w:rsidRPr="00175AF6" w:rsidRDefault="001B40EE" w:rsidP="009B215B">
            <w:pPr>
              <w:rPr>
                <w:b/>
                <w:color w:val="FFFFFF" w:themeColor="background1"/>
                <w:sz w:val="18"/>
                <w:szCs w:val="18"/>
              </w:rPr>
            </w:pPr>
          </w:p>
        </w:tc>
        <w:tc>
          <w:tcPr>
            <w:tcW w:w="2878" w:type="dxa"/>
            <w:gridSpan w:val="2"/>
            <w:shd w:val="clear" w:color="auto" w:fill="154734"/>
          </w:tcPr>
          <w:p w14:paraId="4D9DB27A" w14:textId="77777777" w:rsidR="001B40EE" w:rsidRDefault="001B40EE" w:rsidP="009B215B">
            <w:pPr>
              <w:rPr>
                <w:b/>
                <w:color w:val="FFFFFF" w:themeColor="background1"/>
                <w:sz w:val="18"/>
                <w:szCs w:val="18"/>
              </w:rPr>
            </w:pPr>
            <w:r w:rsidRPr="00175AF6">
              <w:rPr>
                <w:b/>
                <w:color w:val="FFFFFF" w:themeColor="background1"/>
                <w:sz w:val="18"/>
                <w:szCs w:val="18"/>
              </w:rPr>
              <w:t xml:space="preserve">Administration </w:t>
            </w:r>
          </w:p>
          <w:p w14:paraId="315C612A" w14:textId="77777777" w:rsidR="001B40EE" w:rsidRPr="00175AF6" w:rsidRDefault="001B40EE" w:rsidP="009B215B">
            <w:pPr>
              <w:rPr>
                <w:b/>
                <w:color w:val="FFFFFF" w:themeColor="background1"/>
                <w:sz w:val="18"/>
                <w:szCs w:val="18"/>
              </w:rPr>
            </w:pPr>
            <w:r w:rsidRPr="00175AF6">
              <w:rPr>
                <w:b/>
                <w:color w:val="FFFFFF" w:themeColor="background1"/>
                <w:sz w:val="18"/>
                <w:szCs w:val="18"/>
              </w:rPr>
              <w:t>Services (57%)</w:t>
            </w:r>
          </w:p>
        </w:tc>
        <w:tc>
          <w:tcPr>
            <w:tcW w:w="2878" w:type="dxa"/>
            <w:gridSpan w:val="2"/>
            <w:shd w:val="clear" w:color="auto" w:fill="154734"/>
          </w:tcPr>
          <w:p w14:paraId="7F21D900" w14:textId="73056764" w:rsidR="001B40EE" w:rsidRDefault="001B40EE" w:rsidP="009B215B">
            <w:pPr>
              <w:rPr>
                <w:b/>
                <w:color w:val="FFFFFF" w:themeColor="background1"/>
                <w:sz w:val="18"/>
                <w:szCs w:val="18"/>
              </w:rPr>
            </w:pPr>
            <w:r w:rsidRPr="00175AF6">
              <w:rPr>
                <w:b/>
                <w:color w:val="FFFFFF" w:themeColor="background1"/>
                <w:sz w:val="18"/>
                <w:szCs w:val="18"/>
              </w:rPr>
              <w:t xml:space="preserve">Academic </w:t>
            </w:r>
          </w:p>
          <w:p w14:paraId="508ECF22" w14:textId="77777777" w:rsidR="001B40EE" w:rsidRPr="00175AF6" w:rsidRDefault="001B40EE" w:rsidP="009B215B">
            <w:pPr>
              <w:rPr>
                <w:b/>
                <w:color w:val="FFFFFF" w:themeColor="background1"/>
                <w:sz w:val="18"/>
                <w:szCs w:val="18"/>
              </w:rPr>
            </w:pPr>
            <w:r w:rsidRPr="00175AF6">
              <w:rPr>
                <w:b/>
                <w:color w:val="FFFFFF" w:themeColor="background1"/>
                <w:sz w:val="18"/>
                <w:szCs w:val="18"/>
              </w:rPr>
              <w:t>Services (43%)</w:t>
            </w:r>
          </w:p>
        </w:tc>
        <w:tc>
          <w:tcPr>
            <w:tcW w:w="1440" w:type="dxa"/>
            <w:shd w:val="clear" w:color="auto" w:fill="154734"/>
          </w:tcPr>
          <w:p w14:paraId="11AD2831" w14:textId="77777777" w:rsidR="001B40EE" w:rsidRPr="00175AF6" w:rsidRDefault="001B40EE" w:rsidP="009B215B">
            <w:pPr>
              <w:rPr>
                <w:b/>
                <w:color w:val="FFFFFF" w:themeColor="background1"/>
                <w:sz w:val="18"/>
                <w:szCs w:val="18"/>
              </w:rPr>
            </w:pPr>
            <w:r w:rsidRPr="00175AF6">
              <w:rPr>
                <w:b/>
                <w:color w:val="FFFFFF" w:themeColor="background1"/>
                <w:sz w:val="18"/>
                <w:szCs w:val="18"/>
              </w:rPr>
              <w:t>Total</w:t>
            </w:r>
          </w:p>
        </w:tc>
      </w:tr>
      <w:tr w:rsidR="00175AF6" w14:paraId="25925FFD" w14:textId="77777777" w:rsidTr="00E42F95">
        <w:tc>
          <w:tcPr>
            <w:tcW w:w="1439" w:type="dxa"/>
            <w:shd w:val="clear" w:color="auto" w:fill="5B7F95"/>
          </w:tcPr>
          <w:p w14:paraId="7ACB78F8" w14:textId="77777777" w:rsidR="00175AF6" w:rsidRPr="00E42F95" w:rsidRDefault="00175AF6" w:rsidP="009B215B">
            <w:pPr>
              <w:rPr>
                <w:b/>
                <w:color w:val="FFFFFF" w:themeColor="background1"/>
                <w:sz w:val="18"/>
                <w:szCs w:val="18"/>
              </w:rPr>
            </w:pPr>
          </w:p>
        </w:tc>
        <w:tc>
          <w:tcPr>
            <w:tcW w:w="1439" w:type="dxa"/>
            <w:shd w:val="clear" w:color="auto" w:fill="5B7F95"/>
          </w:tcPr>
          <w:p w14:paraId="6AECC5AA" w14:textId="77777777" w:rsidR="00175AF6" w:rsidRPr="00E42F95" w:rsidRDefault="00175AF6" w:rsidP="009B215B">
            <w:pPr>
              <w:rPr>
                <w:b/>
                <w:color w:val="FFFFFF" w:themeColor="background1"/>
                <w:sz w:val="18"/>
                <w:szCs w:val="18"/>
              </w:rPr>
            </w:pPr>
            <w:r w:rsidRPr="001B40EE">
              <w:rPr>
                <w:b/>
                <w:sz w:val="18"/>
                <w:szCs w:val="18"/>
              </w:rPr>
              <w:t>Faculty &amp; Staff FTE</w:t>
            </w:r>
          </w:p>
        </w:tc>
        <w:tc>
          <w:tcPr>
            <w:tcW w:w="1439" w:type="dxa"/>
            <w:shd w:val="clear" w:color="auto" w:fill="5B7F95"/>
          </w:tcPr>
          <w:p w14:paraId="18680977" w14:textId="77777777" w:rsidR="00175AF6" w:rsidRPr="00E42F95" w:rsidRDefault="00175AF6" w:rsidP="009B215B">
            <w:pPr>
              <w:rPr>
                <w:b/>
                <w:color w:val="FFFFFF" w:themeColor="background1"/>
                <w:sz w:val="18"/>
                <w:szCs w:val="18"/>
              </w:rPr>
            </w:pPr>
            <w:r w:rsidRPr="001B40EE">
              <w:rPr>
                <w:b/>
                <w:sz w:val="18"/>
                <w:szCs w:val="18"/>
              </w:rPr>
              <w:t>Amount</w:t>
            </w:r>
          </w:p>
        </w:tc>
        <w:tc>
          <w:tcPr>
            <w:tcW w:w="1439" w:type="dxa"/>
            <w:shd w:val="clear" w:color="auto" w:fill="5B7F95"/>
          </w:tcPr>
          <w:p w14:paraId="6A3FD3B3" w14:textId="77777777" w:rsidR="00175AF6" w:rsidRPr="00E42F95" w:rsidRDefault="00175AF6" w:rsidP="009B215B">
            <w:pPr>
              <w:rPr>
                <w:b/>
                <w:color w:val="FFFFFF" w:themeColor="background1"/>
                <w:sz w:val="18"/>
                <w:szCs w:val="18"/>
              </w:rPr>
            </w:pPr>
            <w:r w:rsidRPr="001B40EE">
              <w:rPr>
                <w:b/>
                <w:sz w:val="18"/>
                <w:szCs w:val="18"/>
              </w:rPr>
              <w:t xml:space="preserve">Undergrad FTE &amp; </w:t>
            </w:r>
          </w:p>
          <w:p w14:paraId="2DA96015" w14:textId="77777777" w:rsidR="00175AF6" w:rsidRPr="00E42F95" w:rsidRDefault="00175AF6" w:rsidP="009B215B">
            <w:pPr>
              <w:rPr>
                <w:b/>
                <w:color w:val="FFFFFF" w:themeColor="background1"/>
                <w:sz w:val="18"/>
                <w:szCs w:val="18"/>
              </w:rPr>
            </w:pPr>
            <w:r w:rsidRPr="001B40EE">
              <w:rPr>
                <w:b/>
                <w:sz w:val="18"/>
                <w:szCs w:val="18"/>
              </w:rPr>
              <w:t>Grad FTE</w:t>
            </w:r>
          </w:p>
        </w:tc>
        <w:tc>
          <w:tcPr>
            <w:tcW w:w="1439" w:type="dxa"/>
            <w:shd w:val="clear" w:color="auto" w:fill="5B7F95"/>
          </w:tcPr>
          <w:p w14:paraId="55D7C83D" w14:textId="77777777" w:rsidR="00175AF6" w:rsidRPr="00E42F95" w:rsidRDefault="00175AF6" w:rsidP="009B215B">
            <w:pPr>
              <w:rPr>
                <w:b/>
                <w:color w:val="FFFFFF" w:themeColor="background1"/>
                <w:sz w:val="18"/>
                <w:szCs w:val="18"/>
              </w:rPr>
            </w:pPr>
            <w:r w:rsidRPr="001B40EE">
              <w:rPr>
                <w:b/>
                <w:sz w:val="18"/>
                <w:szCs w:val="18"/>
              </w:rPr>
              <w:t>Amount</w:t>
            </w:r>
          </w:p>
        </w:tc>
        <w:tc>
          <w:tcPr>
            <w:tcW w:w="1440" w:type="dxa"/>
            <w:shd w:val="clear" w:color="auto" w:fill="5B7F95"/>
          </w:tcPr>
          <w:p w14:paraId="5229B85B" w14:textId="77777777" w:rsidR="00175AF6" w:rsidRPr="00E42F95" w:rsidRDefault="00175AF6" w:rsidP="009B215B">
            <w:pPr>
              <w:rPr>
                <w:b/>
                <w:color w:val="FFFFFF" w:themeColor="background1"/>
                <w:sz w:val="18"/>
                <w:szCs w:val="18"/>
              </w:rPr>
            </w:pPr>
          </w:p>
        </w:tc>
      </w:tr>
      <w:tr w:rsidR="00E42F95" w14:paraId="4F213E8A" w14:textId="77777777" w:rsidTr="00175AF6">
        <w:tc>
          <w:tcPr>
            <w:tcW w:w="1439" w:type="dxa"/>
          </w:tcPr>
          <w:p w14:paraId="7B793A15" w14:textId="77777777" w:rsidR="00E42F95" w:rsidRPr="00175AF6" w:rsidRDefault="00E42F95" w:rsidP="009B215B">
            <w:pPr>
              <w:rPr>
                <w:sz w:val="18"/>
                <w:szCs w:val="18"/>
              </w:rPr>
            </w:pPr>
            <w:r>
              <w:rPr>
                <w:sz w:val="18"/>
                <w:szCs w:val="18"/>
              </w:rPr>
              <w:t>Durham</w:t>
            </w:r>
          </w:p>
        </w:tc>
        <w:tc>
          <w:tcPr>
            <w:tcW w:w="1439" w:type="dxa"/>
          </w:tcPr>
          <w:p w14:paraId="74B63B46" w14:textId="77777777" w:rsidR="00E42F95" w:rsidRPr="00175AF6" w:rsidRDefault="00E42F95" w:rsidP="009B215B">
            <w:pPr>
              <w:rPr>
                <w:sz w:val="18"/>
                <w:szCs w:val="18"/>
              </w:rPr>
            </w:pPr>
            <w:r>
              <w:rPr>
                <w:sz w:val="18"/>
                <w:szCs w:val="18"/>
              </w:rPr>
              <w:t>33.89</w:t>
            </w:r>
          </w:p>
        </w:tc>
        <w:tc>
          <w:tcPr>
            <w:tcW w:w="1439" w:type="dxa"/>
          </w:tcPr>
          <w:p w14:paraId="0E0CF22E" w14:textId="77777777" w:rsidR="00E42F95" w:rsidRPr="00175AF6" w:rsidRDefault="00E42F95" w:rsidP="009B215B">
            <w:pPr>
              <w:rPr>
                <w:sz w:val="18"/>
                <w:szCs w:val="18"/>
              </w:rPr>
            </w:pPr>
            <w:r>
              <w:rPr>
                <w:sz w:val="18"/>
                <w:szCs w:val="18"/>
              </w:rPr>
              <w:t>$215,109</w:t>
            </w:r>
          </w:p>
        </w:tc>
        <w:tc>
          <w:tcPr>
            <w:tcW w:w="1439" w:type="dxa"/>
          </w:tcPr>
          <w:p w14:paraId="21B38B08" w14:textId="77777777" w:rsidR="00E42F95" w:rsidRPr="00DE6604" w:rsidRDefault="00E42F95" w:rsidP="009B215B">
            <w:pPr>
              <w:rPr>
                <w:sz w:val="18"/>
                <w:szCs w:val="18"/>
              </w:rPr>
            </w:pPr>
            <w:r>
              <w:rPr>
                <w:sz w:val="18"/>
                <w:szCs w:val="18"/>
              </w:rPr>
              <w:t>1,032.90</w:t>
            </w:r>
          </w:p>
        </w:tc>
        <w:tc>
          <w:tcPr>
            <w:tcW w:w="1439" w:type="dxa"/>
          </w:tcPr>
          <w:p w14:paraId="7FE96DD8" w14:textId="77777777" w:rsidR="00E42F95" w:rsidRPr="00175AF6" w:rsidRDefault="00E42F95" w:rsidP="009B215B">
            <w:pPr>
              <w:rPr>
                <w:sz w:val="18"/>
                <w:szCs w:val="18"/>
              </w:rPr>
            </w:pPr>
            <w:r>
              <w:rPr>
                <w:sz w:val="18"/>
                <w:szCs w:val="18"/>
              </w:rPr>
              <w:t>$192,377</w:t>
            </w:r>
          </w:p>
        </w:tc>
        <w:tc>
          <w:tcPr>
            <w:tcW w:w="1440" w:type="dxa"/>
          </w:tcPr>
          <w:p w14:paraId="392803A9" w14:textId="77777777" w:rsidR="00E42F95" w:rsidRPr="00175AF6" w:rsidRDefault="00E42F95" w:rsidP="009B215B">
            <w:pPr>
              <w:rPr>
                <w:sz w:val="18"/>
                <w:szCs w:val="18"/>
              </w:rPr>
            </w:pPr>
            <w:r>
              <w:rPr>
                <w:sz w:val="18"/>
                <w:szCs w:val="18"/>
              </w:rPr>
              <w:t>$407,486</w:t>
            </w:r>
          </w:p>
        </w:tc>
      </w:tr>
      <w:tr w:rsidR="00E42F95" w14:paraId="7B585E0F" w14:textId="77777777" w:rsidTr="00175AF6">
        <w:tc>
          <w:tcPr>
            <w:tcW w:w="1439" w:type="dxa"/>
          </w:tcPr>
          <w:p w14:paraId="49690D4C" w14:textId="77777777" w:rsidR="00E42F95" w:rsidRPr="00175AF6" w:rsidRDefault="00E42F95" w:rsidP="009B215B">
            <w:pPr>
              <w:rPr>
                <w:sz w:val="18"/>
                <w:szCs w:val="18"/>
              </w:rPr>
            </w:pPr>
            <w:r>
              <w:rPr>
                <w:sz w:val="18"/>
                <w:szCs w:val="18"/>
              </w:rPr>
              <w:t>Education</w:t>
            </w:r>
          </w:p>
        </w:tc>
        <w:tc>
          <w:tcPr>
            <w:tcW w:w="1439" w:type="dxa"/>
          </w:tcPr>
          <w:p w14:paraId="5E2FFC4B" w14:textId="77777777" w:rsidR="00E42F95" w:rsidRPr="00175AF6" w:rsidRDefault="00E42F95" w:rsidP="009B215B">
            <w:pPr>
              <w:rPr>
                <w:sz w:val="18"/>
                <w:szCs w:val="18"/>
              </w:rPr>
            </w:pPr>
            <w:r>
              <w:rPr>
                <w:sz w:val="18"/>
                <w:szCs w:val="18"/>
              </w:rPr>
              <w:t>19.84</w:t>
            </w:r>
          </w:p>
        </w:tc>
        <w:tc>
          <w:tcPr>
            <w:tcW w:w="1439" w:type="dxa"/>
          </w:tcPr>
          <w:p w14:paraId="71EEA15C" w14:textId="77777777" w:rsidR="00E42F95" w:rsidRPr="00175AF6" w:rsidRDefault="00E42F95" w:rsidP="009B215B">
            <w:pPr>
              <w:rPr>
                <w:sz w:val="18"/>
                <w:szCs w:val="18"/>
              </w:rPr>
            </w:pPr>
            <w:r>
              <w:rPr>
                <w:sz w:val="18"/>
                <w:szCs w:val="18"/>
              </w:rPr>
              <w:t>$125,930</w:t>
            </w:r>
          </w:p>
        </w:tc>
        <w:tc>
          <w:tcPr>
            <w:tcW w:w="1439" w:type="dxa"/>
          </w:tcPr>
          <w:p w14:paraId="6AB137A3" w14:textId="77777777" w:rsidR="00E42F95" w:rsidRPr="00DE6604" w:rsidRDefault="00E42F95" w:rsidP="009B215B">
            <w:pPr>
              <w:rPr>
                <w:sz w:val="18"/>
                <w:szCs w:val="18"/>
              </w:rPr>
            </w:pPr>
            <w:r>
              <w:rPr>
                <w:sz w:val="18"/>
                <w:szCs w:val="18"/>
              </w:rPr>
              <w:t>295.35</w:t>
            </w:r>
          </w:p>
        </w:tc>
        <w:tc>
          <w:tcPr>
            <w:tcW w:w="1439" w:type="dxa"/>
          </w:tcPr>
          <w:p w14:paraId="2BB053BD" w14:textId="77777777" w:rsidR="00E42F95" w:rsidRPr="00175AF6" w:rsidRDefault="00E42F95" w:rsidP="009B215B">
            <w:pPr>
              <w:rPr>
                <w:sz w:val="18"/>
                <w:szCs w:val="18"/>
              </w:rPr>
            </w:pPr>
            <w:r>
              <w:rPr>
                <w:sz w:val="18"/>
                <w:szCs w:val="18"/>
              </w:rPr>
              <w:t>$55,010</w:t>
            </w:r>
          </w:p>
        </w:tc>
        <w:tc>
          <w:tcPr>
            <w:tcW w:w="1440" w:type="dxa"/>
          </w:tcPr>
          <w:p w14:paraId="2689463D" w14:textId="77777777" w:rsidR="00E42F95" w:rsidRPr="00175AF6" w:rsidRDefault="00E42F95" w:rsidP="009B215B">
            <w:pPr>
              <w:rPr>
                <w:sz w:val="18"/>
                <w:szCs w:val="18"/>
              </w:rPr>
            </w:pPr>
            <w:r>
              <w:rPr>
                <w:sz w:val="18"/>
                <w:szCs w:val="18"/>
              </w:rPr>
              <w:t>$180,940</w:t>
            </w:r>
          </w:p>
        </w:tc>
      </w:tr>
      <w:tr w:rsidR="00E42F95" w14:paraId="2D007002" w14:textId="77777777" w:rsidTr="00175AF6">
        <w:tc>
          <w:tcPr>
            <w:tcW w:w="1439" w:type="dxa"/>
          </w:tcPr>
          <w:p w14:paraId="081D65BB" w14:textId="77777777" w:rsidR="00E42F95" w:rsidRPr="00175AF6" w:rsidRDefault="00E42F95" w:rsidP="009B215B">
            <w:pPr>
              <w:rPr>
                <w:sz w:val="18"/>
                <w:szCs w:val="18"/>
              </w:rPr>
            </w:pPr>
            <w:r>
              <w:rPr>
                <w:sz w:val="18"/>
                <w:szCs w:val="18"/>
              </w:rPr>
              <w:t>Nursing</w:t>
            </w:r>
          </w:p>
        </w:tc>
        <w:tc>
          <w:tcPr>
            <w:tcW w:w="1439" w:type="dxa"/>
          </w:tcPr>
          <w:p w14:paraId="6AD46935" w14:textId="77777777" w:rsidR="00E42F95" w:rsidRPr="00175AF6" w:rsidRDefault="00E42F95" w:rsidP="009B215B">
            <w:pPr>
              <w:rPr>
                <w:sz w:val="18"/>
                <w:szCs w:val="18"/>
              </w:rPr>
            </w:pPr>
            <w:r>
              <w:rPr>
                <w:sz w:val="18"/>
                <w:szCs w:val="18"/>
              </w:rPr>
              <w:t>31.28</w:t>
            </w:r>
          </w:p>
        </w:tc>
        <w:tc>
          <w:tcPr>
            <w:tcW w:w="1439" w:type="dxa"/>
          </w:tcPr>
          <w:p w14:paraId="71D511E2" w14:textId="77777777" w:rsidR="00E42F95" w:rsidRPr="00175AF6" w:rsidRDefault="00E42F95" w:rsidP="009B215B">
            <w:pPr>
              <w:rPr>
                <w:sz w:val="18"/>
                <w:szCs w:val="18"/>
              </w:rPr>
            </w:pPr>
            <w:r>
              <w:rPr>
                <w:sz w:val="18"/>
                <w:szCs w:val="18"/>
              </w:rPr>
              <w:t>$198,543</w:t>
            </w:r>
          </w:p>
        </w:tc>
        <w:tc>
          <w:tcPr>
            <w:tcW w:w="1439" w:type="dxa"/>
          </w:tcPr>
          <w:p w14:paraId="161C0038" w14:textId="77777777" w:rsidR="00E42F95" w:rsidRPr="00DE6604" w:rsidRDefault="00E42F95" w:rsidP="009B215B">
            <w:pPr>
              <w:rPr>
                <w:sz w:val="18"/>
                <w:szCs w:val="18"/>
              </w:rPr>
            </w:pPr>
            <w:r>
              <w:rPr>
                <w:sz w:val="18"/>
                <w:szCs w:val="18"/>
              </w:rPr>
              <w:t>770.97</w:t>
            </w:r>
          </w:p>
        </w:tc>
        <w:tc>
          <w:tcPr>
            <w:tcW w:w="1439" w:type="dxa"/>
          </w:tcPr>
          <w:p w14:paraId="4B411439" w14:textId="77777777" w:rsidR="00E42F95" w:rsidRPr="00175AF6" w:rsidRDefault="00E42F95" w:rsidP="009B215B">
            <w:pPr>
              <w:rPr>
                <w:sz w:val="18"/>
                <w:szCs w:val="18"/>
              </w:rPr>
            </w:pPr>
            <w:r>
              <w:rPr>
                <w:sz w:val="18"/>
                <w:szCs w:val="18"/>
              </w:rPr>
              <w:t>$143,593</w:t>
            </w:r>
          </w:p>
        </w:tc>
        <w:tc>
          <w:tcPr>
            <w:tcW w:w="1440" w:type="dxa"/>
          </w:tcPr>
          <w:p w14:paraId="1AB1AB2C" w14:textId="77777777" w:rsidR="00E42F95" w:rsidRPr="00175AF6" w:rsidRDefault="00E42F95" w:rsidP="009B215B">
            <w:pPr>
              <w:rPr>
                <w:sz w:val="18"/>
                <w:szCs w:val="18"/>
              </w:rPr>
            </w:pPr>
            <w:r>
              <w:rPr>
                <w:sz w:val="18"/>
                <w:szCs w:val="18"/>
              </w:rPr>
              <w:t>$342,136</w:t>
            </w:r>
          </w:p>
        </w:tc>
      </w:tr>
      <w:tr w:rsidR="00E42F95" w14:paraId="7F5B4F64" w14:textId="77777777" w:rsidTr="00175AF6">
        <w:tc>
          <w:tcPr>
            <w:tcW w:w="1439" w:type="dxa"/>
          </w:tcPr>
          <w:p w14:paraId="04D5B8F9" w14:textId="77777777" w:rsidR="00E42F95" w:rsidRPr="00175AF6" w:rsidRDefault="00E42F95" w:rsidP="009B215B">
            <w:pPr>
              <w:rPr>
                <w:sz w:val="18"/>
                <w:szCs w:val="18"/>
              </w:rPr>
            </w:pPr>
            <w:r>
              <w:rPr>
                <w:sz w:val="18"/>
                <w:szCs w:val="18"/>
              </w:rPr>
              <w:t>Humanities</w:t>
            </w:r>
          </w:p>
        </w:tc>
        <w:tc>
          <w:tcPr>
            <w:tcW w:w="1439" w:type="dxa"/>
          </w:tcPr>
          <w:p w14:paraId="1625DD6F" w14:textId="77777777" w:rsidR="00E42F95" w:rsidRPr="00175AF6" w:rsidRDefault="00E42F95" w:rsidP="009B215B">
            <w:pPr>
              <w:rPr>
                <w:sz w:val="18"/>
                <w:szCs w:val="18"/>
              </w:rPr>
            </w:pPr>
            <w:r>
              <w:rPr>
                <w:sz w:val="18"/>
                <w:szCs w:val="18"/>
              </w:rPr>
              <w:t>66.41</w:t>
            </w:r>
          </w:p>
        </w:tc>
        <w:tc>
          <w:tcPr>
            <w:tcW w:w="1439" w:type="dxa"/>
          </w:tcPr>
          <w:p w14:paraId="45ACAEE9" w14:textId="77777777" w:rsidR="00E42F95" w:rsidRPr="00175AF6" w:rsidRDefault="00E42F95" w:rsidP="009B215B">
            <w:pPr>
              <w:rPr>
                <w:sz w:val="18"/>
                <w:szCs w:val="18"/>
              </w:rPr>
            </w:pPr>
            <w:r>
              <w:rPr>
                <w:sz w:val="18"/>
                <w:szCs w:val="18"/>
              </w:rPr>
              <w:t>$421,523</w:t>
            </w:r>
          </w:p>
        </w:tc>
        <w:tc>
          <w:tcPr>
            <w:tcW w:w="1439" w:type="dxa"/>
          </w:tcPr>
          <w:p w14:paraId="0CBEF458" w14:textId="77777777" w:rsidR="00E42F95" w:rsidRPr="00DE6604" w:rsidRDefault="00E42F95" w:rsidP="009B215B">
            <w:pPr>
              <w:rPr>
                <w:sz w:val="18"/>
                <w:szCs w:val="18"/>
              </w:rPr>
            </w:pPr>
            <w:r>
              <w:rPr>
                <w:sz w:val="18"/>
                <w:szCs w:val="18"/>
              </w:rPr>
              <w:t>1,498.52</w:t>
            </w:r>
          </w:p>
        </w:tc>
        <w:tc>
          <w:tcPr>
            <w:tcW w:w="1439" w:type="dxa"/>
          </w:tcPr>
          <w:p w14:paraId="14B08354" w14:textId="77777777" w:rsidR="00E42F95" w:rsidRPr="00175AF6" w:rsidRDefault="00E42F95" w:rsidP="009B215B">
            <w:pPr>
              <w:rPr>
                <w:sz w:val="18"/>
                <w:szCs w:val="18"/>
              </w:rPr>
            </w:pPr>
            <w:r>
              <w:rPr>
                <w:sz w:val="18"/>
                <w:szCs w:val="18"/>
              </w:rPr>
              <w:t>$279,100</w:t>
            </w:r>
          </w:p>
        </w:tc>
        <w:tc>
          <w:tcPr>
            <w:tcW w:w="1440" w:type="dxa"/>
          </w:tcPr>
          <w:p w14:paraId="52AAD933" w14:textId="77777777" w:rsidR="00E42F95" w:rsidRPr="00175AF6" w:rsidRDefault="00E42F95" w:rsidP="009B215B">
            <w:pPr>
              <w:rPr>
                <w:sz w:val="18"/>
                <w:szCs w:val="18"/>
              </w:rPr>
            </w:pPr>
            <w:r>
              <w:rPr>
                <w:sz w:val="18"/>
                <w:szCs w:val="18"/>
              </w:rPr>
              <w:t>$700,623</w:t>
            </w:r>
          </w:p>
        </w:tc>
      </w:tr>
      <w:tr w:rsidR="00E42F95" w14:paraId="003CA3AD" w14:textId="77777777" w:rsidTr="00175AF6">
        <w:tc>
          <w:tcPr>
            <w:tcW w:w="1439" w:type="dxa"/>
          </w:tcPr>
          <w:p w14:paraId="6D01B5AC" w14:textId="77777777" w:rsidR="00E42F95" w:rsidRPr="00175AF6" w:rsidRDefault="00E42F95" w:rsidP="009B215B">
            <w:pPr>
              <w:rPr>
                <w:sz w:val="18"/>
                <w:szCs w:val="18"/>
              </w:rPr>
            </w:pPr>
            <w:r>
              <w:rPr>
                <w:sz w:val="18"/>
                <w:szCs w:val="18"/>
              </w:rPr>
              <w:t>Science</w:t>
            </w:r>
          </w:p>
        </w:tc>
        <w:tc>
          <w:tcPr>
            <w:tcW w:w="1439" w:type="dxa"/>
          </w:tcPr>
          <w:p w14:paraId="75A37B8C" w14:textId="77777777" w:rsidR="00E42F95" w:rsidRPr="00175AF6" w:rsidRDefault="00E42F95" w:rsidP="009B215B">
            <w:pPr>
              <w:rPr>
                <w:sz w:val="18"/>
                <w:szCs w:val="18"/>
              </w:rPr>
            </w:pPr>
            <w:r>
              <w:rPr>
                <w:sz w:val="18"/>
                <w:szCs w:val="18"/>
              </w:rPr>
              <w:t>129.99</w:t>
            </w:r>
          </w:p>
        </w:tc>
        <w:tc>
          <w:tcPr>
            <w:tcW w:w="1439" w:type="dxa"/>
          </w:tcPr>
          <w:p w14:paraId="1BC791A3" w14:textId="77777777" w:rsidR="00E42F95" w:rsidRPr="00175AF6" w:rsidRDefault="00E42F95" w:rsidP="009B215B">
            <w:pPr>
              <w:rPr>
                <w:sz w:val="18"/>
                <w:szCs w:val="18"/>
              </w:rPr>
            </w:pPr>
            <w:r>
              <w:rPr>
                <w:sz w:val="18"/>
                <w:szCs w:val="18"/>
              </w:rPr>
              <w:t>$825,083</w:t>
            </w:r>
          </w:p>
        </w:tc>
        <w:tc>
          <w:tcPr>
            <w:tcW w:w="1439" w:type="dxa"/>
          </w:tcPr>
          <w:p w14:paraId="522AE3B8" w14:textId="77777777" w:rsidR="00E42F95" w:rsidRPr="00DE6604" w:rsidRDefault="00E42F95" w:rsidP="009B215B">
            <w:pPr>
              <w:rPr>
                <w:sz w:val="18"/>
                <w:szCs w:val="18"/>
              </w:rPr>
            </w:pPr>
            <w:r>
              <w:rPr>
                <w:sz w:val="18"/>
                <w:szCs w:val="18"/>
              </w:rPr>
              <w:t>3,667.73</w:t>
            </w:r>
          </w:p>
        </w:tc>
        <w:tc>
          <w:tcPr>
            <w:tcW w:w="1439" w:type="dxa"/>
          </w:tcPr>
          <w:p w14:paraId="526EEAF3" w14:textId="77777777" w:rsidR="00E42F95" w:rsidRPr="00175AF6" w:rsidRDefault="00E42F95" w:rsidP="009B215B">
            <w:pPr>
              <w:rPr>
                <w:sz w:val="18"/>
                <w:szCs w:val="18"/>
              </w:rPr>
            </w:pPr>
            <w:r>
              <w:rPr>
                <w:sz w:val="18"/>
                <w:szCs w:val="18"/>
              </w:rPr>
              <w:t>$683,114</w:t>
            </w:r>
          </w:p>
        </w:tc>
        <w:tc>
          <w:tcPr>
            <w:tcW w:w="1440" w:type="dxa"/>
          </w:tcPr>
          <w:p w14:paraId="043855B5" w14:textId="77777777" w:rsidR="00E42F95" w:rsidRPr="00175AF6" w:rsidRDefault="00E42F95" w:rsidP="009B215B">
            <w:pPr>
              <w:rPr>
                <w:sz w:val="18"/>
                <w:szCs w:val="18"/>
              </w:rPr>
            </w:pPr>
            <w:r>
              <w:rPr>
                <w:sz w:val="18"/>
                <w:szCs w:val="18"/>
              </w:rPr>
              <w:t>$1,508,197</w:t>
            </w:r>
          </w:p>
        </w:tc>
      </w:tr>
      <w:tr w:rsidR="00E42F95" w14:paraId="57226A16" w14:textId="77777777" w:rsidTr="00175AF6">
        <w:tc>
          <w:tcPr>
            <w:tcW w:w="1439" w:type="dxa"/>
          </w:tcPr>
          <w:p w14:paraId="315FC9B0" w14:textId="77777777" w:rsidR="00E42F95" w:rsidRPr="00175AF6" w:rsidRDefault="00E42F95" w:rsidP="009B215B">
            <w:pPr>
              <w:rPr>
                <w:sz w:val="18"/>
                <w:szCs w:val="18"/>
              </w:rPr>
            </w:pPr>
            <w:r>
              <w:rPr>
                <w:sz w:val="18"/>
                <w:szCs w:val="18"/>
              </w:rPr>
              <w:t>Social Science</w:t>
            </w:r>
          </w:p>
        </w:tc>
        <w:tc>
          <w:tcPr>
            <w:tcW w:w="1439" w:type="dxa"/>
          </w:tcPr>
          <w:p w14:paraId="42C9345D" w14:textId="77777777" w:rsidR="00E42F95" w:rsidRPr="00175AF6" w:rsidRDefault="00E42F95" w:rsidP="009B215B">
            <w:pPr>
              <w:rPr>
                <w:sz w:val="18"/>
                <w:szCs w:val="18"/>
              </w:rPr>
            </w:pPr>
            <w:r>
              <w:rPr>
                <w:sz w:val="18"/>
                <w:szCs w:val="18"/>
              </w:rPr>
              <w:t>78.55</w:t>
            </w:r>
          </w:p>
        </w:tc>
        <w:tc>
          <w:tcPr>
            <w:tcW w:w="1439" w:type="dxa"/>
          </w:tcPr>
          <w:p w14:paraId="3BEAAA54" w14:textId="77777777" w:rsidR="00E42F95" w:rsidRPr="00175AF6" w:rsidRDefault="00E42F95" w:rsidP="009B215B">
            <w:pPr>
              <w:rPr>
                <w:sz w:val="18"/>
                <w:szCs w:val="18"/>
              </w:rPr>
            </w:pPr>
            <w:r>
              <w:rPr>
                <w:sz w:val="18"/>
                <w:szCs w:val="18"/>
              </w:rPr>
              <w:t>$498,579</w:t>
            </w:r>
          </w:p>
        </w:tc>
        <w:tc>
          <w:tcPr>
            <w:tcW w:w="1439" w:type="dxa"/>
          </w:tcPr>
          <w:p w14:paraId="34952A7D" w14:textId="77777777" w:rsidR="00E42F95" w:rsidRPr="00DE6604" w:rsidRDefault="00E42F95" w:rsidP="009B215B">
            <w:pPr>
              <w:rPr>
                <w:sz w:val="18"/>
                <w:szCs w:val="18"/>
              </w:rPr>
            </w:pPr>
            <w:r>
              <w:rPr>
                <w:sz w:val="18"/>
                <w:szCs w:val="18"/>
              </w:rPr>
              <w:t>1,988.73</w:t>
            </w:r>
          </w:p>
        </w:tc>
        <w:tc>
          <w:tcPr>
            <w:tcW w:w="1439" w:type="dxa"/>
          </w:tcPr>
          <w:p w14:paraId="598BCC4F" w14:textId="77777777" w:rsidR="00E42F95" w:rsidRPr="00175AF6" w:rsidRDefault="00E42F95" w:rsidP="009B215B">
            <w:pPr>
              <w:rPr>
                <w:sz w:val="18"/>
                <w:szCs w:val="18"/>
              </w:rPr>
            </w:pPr>
            <w:r>
              <w:rPr>
                <w:sz w:val="18"/>
                <w:szCs w:val="18"/>
              </w:rPr>
              <w:t>$370,403</w:t>
            </w:r>
          </w:p>
        </w:tc>
        <w:tc>
          <w:tcPr>
            <w:tcW w:w="1440" w:type="dxa"/>
          </w:tcPr>
          <w:p w14:paraId="6329D6CD" w14:textId="77777777" w:rsidR="00E42F95" w:rsidRPr="00175AF6" w:rsidRDefault="00E42F95" w:rsidP="009B215B">
            <w:pPr>
              <w:rPr>
                <w:sz w:val="18"/>
                <w:szCs w:val="18"/>
              </w:rPr>
            </w:pPr>
            <w:r>
              <w:rPr>
                <w:sz w:val="18"/>
                <w:szCs w:val="18"/>
              </w:rPr>
              <w:t>$868,982</w:t>
            </w:r>
          </w:p>
        </w:tc>
      </w:tr>
      <w:tr w:rsidR="00E42F95" w:rsidRPr="00175AF6" w14:paraId="6B99D197" w14:textId="77777777" w:rsidTr="00175AF6">
        <w:tc>
          <w:tcPr>
            <w:tcW w:w="1439" w:type="dxa"/>
          </w:tcPr>
          <w:p w14:paraId="5E4CB23F" w14:textId="77777777" w:rsidR="00E42F95" w:rsidRPr="00175AF6" w:rsidRDefault="00E42F95" w:rsidP="009B215B">
            <w:pPr>
              <w:rPr>
                <w:b/>
                <w:sz w:val="18"/>
                <w:szCs w:val="18"/>
              </w:rPr>
            </w:pPr>
            <w:r w:rsidRPr="00175AF6">
              <w:rPr>
                <w:b/>
                <w:sz w:val="18"/>
                <w:szCs w:val="18"/>
              </w:rPr>
              <w:t>Total</w:t>
            </w:r>
          </w:p>
        </w:tc>
        <w:tc>
          <w:tcPr>
            <w:tcW w:w="1439" w:type="dxa"/>
          </w:tcPr>
          <w:p w14:paraId="3F5EF613" w14:textId="77777777" w:rsidR="00E42F95" w:rsidRPr="00175AF6" w:rsidRDefault="00E42F95" w:rsidP="009B215B">
            <w:pPr>
              <w:rPr>
                <w:b/>
                <w:sz w:val="18"/>
                <w:szCs w:val="18"/>
              </w:rPr>
            </w:pPr>
            <w:r w:rsidRPr="00175AF6">
              <w:rPr>
                <w:b/>
                <w:sz w:val="18"/>
                <w:szCs w:val="18"/>
              </w:rPr>
              <w:t>359.96</w:t>
            </w:r>
          </w:p>
        </w:tc>
        <w:tc>
          <w:tcPr>
            <w:tcW w:w="1439" w:type="dxa"/>
          </w:tcPr>
          <w:p w14:paraId="391312EA" w14:textId="77777777" w:rsidR="00E42F95" w:rsidRPr="00175AF6" w:rsidRDefault="00E42F95" w:rsidP="009B215B">
            <w:pPr>
              <w:rPr>
                <w:b/>
                <w:sz w:val="18"/>
                <w:szCs w:val="18"/>
              </w:rPr>
            </w:pPr>
            <w:r w:rsidRPr="00175AF6">
              <w:rPr>
                <w:b/>
                <w:sz w:val="18"/>
                <w:szCs w:val="18"/>
              </w:rPr>
              <w:t>$</w:t>
            </w:r>
            <w:r>
              <w:rPr>
                <w:b/>
                <w:sz w:val="18"/>
                <w:szCs w:val="18"/>
              </w:rPr>
              <w:t>2,284,</w:t>
            </w:r>
            <w:r w:rsidRPr="00175AF6">
              <w:rPr>
                <w:b/>
                <w:sz w:val="18"/>
                <w:szCs w:val="18"/>
              </w:rPr>
              <w:t>767</w:t>
            </w:r>
          </w:p>
        </w:tc>
        <w:tc>
          <w:tcPr>
            <w:tcW w:w="1439" w:type="dxa"/>
          </w:tcPr>
          <w:p w14:paraId="2BC976F2" w14:textId="77777777" w:rsidR="00E42F95" w:rsidRPr="00DE6604" w:rsidRDefault="00E42F95" w:rsidP="009B215B">
            <w:pPr>
              <w:rPr>
                <w:b/>
                <w:sz w:val="18"/>
                <w:szCs w:val="18"/>
              </w:rPr>
            </w:pPr>
            <w:r w:rsidRPr="00DE6604">
              <w:rPr>
                <w:b/>
                <w:sz w:val="18"/>
                <w:szCs w:val="18"/>
              </w:rPr>
              <w:t>9,254.20</w:t>
            </w:r>
          </w:p>
        </w:tc>
        <w:tc>
          <w:tcPr>
            <w:tcW w:w="1439" w:type="dxa"/>
          </w:tcPr>
          <w:p w14:paraId="6AE4F6E1" w14:textId="77777777" w:rsidR="00E42F95" w:rsidRPr="00175AF6" w:rsidRDefault="00E42F95" w:rsidP="009B215B">
            <w:pPr>
              <w:rPr>
                <w:b/>
                <w:sz w:val="18"/>
                <w:szCs w:val="18"/>
              </w:rPr>
            </w:pPr>
            <w:r>
              <w:rPr>
                <w:b/>
                <w:sz w:val="18"/>
                <w:szCs w:val="18"/>
              </w:rPr>
              <w:t>$1,723,597</w:t>
            </w:r>
          </w:p>
        </w:tc>
        <w:tc>
          <w:tcPr>
            <w:tcW w:w="1440" w:type="dxa"/>
          </w:tcPr>
          <w:p w14:paraId="6CE01530" w14:textId="77777777" w:rsidR="00E42F95" w:rsidRPr="00175AF6" w:rsidRDefault="00E42F95" w:rsidP="009B215B">
            <w:pPr>
              <w:rPr>
                <w:b/>
                <w:sz w:val="18"/>
                <w:szCs w:val="18"/>
              </w:rPr>
            </w:pPr>
            <w:r>
              <w:rPr>
                <w:b/>
                <w:sz w:val="18"/>
                <w:szCs w:val="18"/>
              </w:rPr>
              <w:t>$4,008,364</w:t>
            </w:r>
          </w:p>
        </w:tc>
      </w:tr>
    </w:tbl>
    <w:p w14:paraId="070A7124" w14:textId="77777777" w:rsidR="00E42F95" w:rsidRDefault="00E42F95" w:rsidP="009B215B"/>
    <w:p w14:paraId="36A3191E" w14:textId="77777777" w:rsidR="00D6417A" w:rsidRPr="009B215B" w:rsidRDefault="00D6417A" w:rsidP="009B215B">
      <w:pPr>
        <w:pStyle w:val="ListParagraph"/>
        <w:numPr>
          <w:ilvl w:val="0"/>
          <w:numId w:val="27"/>
        </w:numPr>
      </w:pPr>
      <w:r w:rsidRPr="009B215B">
        <w:rPr>
          <w:b/>
          <w:color w:val="154734"/>
        </w:rPr>
        <w:t>Human Resources</w:t>
      </w:r>
      <w:r w:rsidRPr="009B215B">
        <w:t xml:space="preserve">:  Human Resources includes the </w:t>
      </w:r>
      <w:r w:rsidR="00CD7F1B" w:rsidRPr="009B215B">
        <w:t>costs related to the</w:t>
      </w:r>
      <w:r w:rsidRPr="009B215B">
        <w:t xml:space="preserve"> Human Resources </w:t>
      </w:r>
      <w:r w:rsidR="00A37BDD" w:rsidRPr="009B215B">
        <w:t>department, which provides labour relations, compensation and job evaluation, recruitment, benefits administration and payroll processing services to all faculty and staff</w:t>
      </w:r>
      <w:r w:rsidRPr="009B215B">
        <w:t>.  These costs are allocated to the academic divisions based on faculty and staff FTEs.  The 2018/2019 RCM budget (version 2) estimates these costs to be approximately $1.794 million.</w:t>
      </w:r>
    </w:p>
    <w:p w14:paraId="2A075FBA" w14:textId="77777777" w:rsidR="00D6417A" w:rsidRDefault="00D6417A" w:rsidP="009B215B"/>
    <w:p w14:paraId="77F03583" w14:textId="77777777" w:rsidR="00A37BDD" w:rsidRPr="009B215B" w:rsidRDefault="00D6417A" w:rsidP="009B215B">
      <w:pPr>
        <w:pStyle w:val="ListParagraph"/>
        <w:numPr>
          <w:ilvl w:val="0"/>
          <w:numId w:val="27"/>
        </w:numPr>
      </w:pPr>
      <w:r w:rsidRPr="009B215B">
        <w:rPr>
          <w:b/>
          <w:color w:val="154734"/>
        </w:rPr>
        <w:t>Pension Special Payments</w:t>
      </w:r>
      <w:r w:rsidRPr="009B215B">
        <w:t>:  Pension special payments are based on the most recently filed actuarial valuations for the TUFA and OPSEU/Exempt pension plans</w:t>
      </w:r>
      <w:r w:rsidR="00CD7F1B" w:rsidRPr="009B215B">
        <w:t xml:space="preserve"> and include</w:t>
      </w:r>
      <w:r w:rsidR="00A37BDD" w:rsidRPr="009B215B">
        <w:t xml:space="preserve"> going concern </w:t>
      </w:r>
      <w:r w:rsidR="00CD7F1B" w:rsidRPr="009B215B">
        <w:t>and</w:t>
      </w:r>
      <w:r w:rsidR="00A37BDD" w:rsidRPr="009B215B">
        <w:t xml:space="preserve"> solvency payments, SRA contributions, and pension benefit guarantee fund assessments.  </w:t>
      </w:r>
      <w:r w:rsidR="00E37D08" w:rsidRPr="009B215B">
        <w:t>TUFA s</w:t>
      </w:r>
      <w:r w:rsidR="00A37BDD" w:rsidRPr="009B215B">
        <w:t xml:space="preserve">pecial payments are attributed based on faculty FTEs and </w:t>
      </w:r>
      <w:r w:rsidR="00E37D08" w:rsidRPr="009B215B">
        <w:t xml:space="preserve">OPSEU/Exempt </w:t>
      </w:r>
      <w:r w:rsidR="00A37BDD" w:rsidRPr="009B215B">
        <w:t>special payments are allocated based on staff FTEs.  Note, current service pension contributions (normal cost) are charged directly to the respective employee’s academic division or administrative department as part of the salaries and benefits costs.</w:t>
      </w:r>
    </w:p>
    <w:p w14:paraId="5541E5B7" w14:textId="77777777" w:rsidR="00A37BDD" w:rsidRDefault="00A37BDD" w:rsidP="00A37BDD">
      <w:pPr>
        <w:pStyle w:val="ListParagraph"/>
        <w:spacing w:after="240" w:line="240" w:lineRule="auto"/>
        <w:jc w:val="both"/>
        <w:rPr>
          <w:rFonts w:ascii="Arial" w:hAnsi="Arial" w:cs="Arial"/>
          <w:sz w:val="24"/>
          <w:szCs w:val="24"/>
        </w:rPr>
      </w:pPr>
    </w:p>
    <w:p w14:paraId="0B8A5304" w14:textId="77777777" w:rsidR="001B40EE" w:rsidRDefault="001B40EE" w:rsidP="009B215B"/>
    <w:p w14:paraId="02F5F13C" w14:textId="77777777" w:rsidR="001B40EE" w:rsidRDefault="001B40EE" w:rsidP="009B215B"/>
    <w:p w14:paraId="5C167286" w14:textId="549F6BC3" w:rsidR="00A37BDD" w:rsidRDefault="00A37BDD" w:rsidP="009B215B">
      <w:r>
        <w:lastRenderedPageBreak/>
        <w:t>The following table shows the driver values and amounts allocated for the Pension Special Payments costs in the 2018/2019 RCM budget (version 2):</w:t>
      </w:r>
    </w:p>
    <w:p w14:paraId="64345EBC" w14:textId="77777777" w:rsidR="00CD7F1B" w:rsidRDefault="00CD7F1B" w:rsidP="00A37BDD">
      <w:pPr>
        <w:pStyle w:val="ListParagraph"/>
        <w:spacing w:after="240" w:line="240" w:lineRule="auto"/>
        <w:jc w:val="both"/>
        <w:rPr>
          <w:rFonts w:ascii="Arial" w:hAnsi="Arial" w:cs="Arial"/>
          <w:sz w:val="24"/>
          <w:szCs w:val="24"/>
        </w:rPr>
      </w:pPr>
    </w:p>
    <w:tbl>
      <w:tblPr>
        <w:tblStyle w:val="TableGrid"/>
        <w:tblW w:w="0" w:type="auto"/>
        <w:tblInd w:w="720" w:type="dxa"/>
        <w:tblLayout w:type="fixed"/>
        <w:tblLook w:val="04A0" w:firstRow="1" w:lastRow="0" w:firstColumn="1" w:lastColumn="0" w:noHBand="0" w:noVBand="1"/>
      </w:tblPr>
      <w:tblGrid>
        <w:gridCol w:w="1452"/>
        <w:gridCol w:w="1243"/>
        <w:gridCol w:w="1530"/>
        <w:gridCol w:w="1260"/>
        <w:gridCol w:w="1620"/>
        <w:gridCol w:w="1525"/>
      </w:tblGrid>
      <w:tr w:rsidR="00CD7F1B" w:rsidRPr="00A37BDD" w14:paraId="59E41374" w14:textId="77777777" w:rsidTr="00CD7F1B">
        <w:tc>
          <w:tcPr>
            <w:tcW w:w="1452" w:type="dxa"/>
            <w:shd w:val="clear" w:color="auto" w:fill="154734"/>
          </w:tcPr>
          <w:p w14:paraId="48234D41" w14:textId="77777777" w:rsidR="00A37BDD" w:rsidRPr="00A37BDD" w:rsidRDefault="00A37BDD" w:rsidP="00A37BDD">
            <w:pPr>
              <w:pStyle w:val="ListParagraph"/>
              <w:spacing w:after="120" w:line="240" w:lineRule="auto"/>
              <w:ind w:left="0"/>
              <w:jc w:val="both"/>
              <w:rPr>
                <w:rFonts w:ascii="Arial" w:hAnsi="Arial" w:cs="Arial"/>
                <w:b/>
                <w:color w:val="FFFFFF" w:themeColor="background1"/>
                <w:sz w:val="18"/>
                <w:szCs w:val="18"/>
              </w:rPr>
            </w:pPr>
          </w:p>
        </w:tc>
        <w:tc>
          <w:tcPr>
            <w:tcW w:w="1243" w:type="dxa"/>
            <w:shd w:val="clear" w:color="auto" w:fill="154734"/>
          </w:tcPr>
          <w:p w14:paraId="0D57933A" w14:textId="77777777" w:rsidR="00A37BDD" w:rsidRPr="00CD7F1B" w:rsidRDefault="00A37BDD"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 xml:space="preserve">Faculty </w:t>
            </w:r>
            <w:r w:rsidR="00CD7F1B">
              <w:rPr>
                <w:rFonts w:ascii="Arial" w:hAnsi="Arial" w:cs="Arial"/>
                <w:b/>
                <w:color w:val="FFFFFF" w:themeColor="background1"/>
                <w:sz w:val="18"/>
                <w:szCs w:val="18"/>
              </w:rPr>
              <w:t xml:space="preserve">  </w:t>
            </w:r>
            <w:r w:rsidRPr="00CD7F1B">
              <w:rPr>
                <w:rFonts w:ascii="Arial" w:hAnsi="Arial" w:cs="Arial"/>
                <w:b/>
                <w:color w:val="FFFFFF" w:themeColor="background1"/>
                <w:sz w:val="18"/>
                <w:szCs w:val="18"/>
              </w:rPr>
              <w:t>FTE</w:t>
            </w:r>
          </w:p>
        </w:tc>
        <w:tc>
          <w:tcPr>
            <w:tcW w:w="1530" w:type="dxa"/>
            <w:shd w:val="clear" w:color="auto" w:fill="154734"/>
          </w:tcPr>
          <w:p w14:paraId="73B7DF06" w14:textId="77777777" w:rsidR="00A37BDD" w:rsidRPr="00CD7F1B" w:rsidRDefault="00A37BDD"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 xml:space="preserve">TUFA </w:t>
            </w:r>
            <w:r w:rsidR="00CD7F1B" w:rsidRPr="00CD7F1B">
              <w:rPr>
                <w:rFonts w:ascii="Arial" w:hAnsi="Arial" w:cs="Arial"/>
                <w:b/>
                <w:color w:val="FFFFFF" w:themeColor="background1"/>
                <w:sz w:val="18"/>
                <w:szCs w:val="18"/>
              </w:rPr>
              <w:t>Payments</w:t>
            </w:r>
          </w:p>
        </w:tc>
        <w:tc>
          <w:tcPr>
            <w:tcW w:w="1260" w:type="dxa"/>
            <w:shd w:val="clear" w:color="auto" w:fill="154734"/>
          </w:tcPr>
          <w:p w14:paraId="6FF3E9E7" w14:textId="77777777" w:rsidR="00A37BDD" w:rsidRPr="00CD7F1B" w:rsidRDefault="00A37BDD"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 xml:space="preserve">Staff </w:t>
            </w:r>
            <w:r w:rsidR="00CD7F1B">
              <w:rPr>
                <w:rFonts w:ascii="Arial" w:hAnsi="Arial" w:cs="Arial"/>
                <w:b/>
                <w:color w:val="FFFFFF" w:themeColor="background1"/>
                <w:sz w:val="18"/>
                <w:szCs w:val="18"/>
              </w:rPr>
              <w:t xml:space="preserve">      </w:t>
            </w:r>
            <w:r w:rsidRPr="00CD7F1B">
              <w:rPr>
                <w:rFonts w:ascii="Arial" w:hAnsi="Arial" w:cs="Arial"/>
                <w:b/>
                <w:color w:val="FFFFFF" w:themeColor="background1"/>
                <w:sz w:val="18"/>
                <w:szCs w:val="18"/>
              </w:rPr>
              <w:t>FTE</w:t>
            </w:r>
          </w:p>
        </w:tc>
        <w:tc>
          <w:tcPr>
            <w:tcW w:w="1620" w:type="dxa"/>
            <w:shd w:val="clear" w:color="auto" w:fill="154734"/>
          </w:tcPr>
          <w:p w14:paraId="7B614584" w14:textId="77777777" w:rsidR="00A37BDD" w:rsidRPr="00CD7F1B" w:rsidRDefault="00A37BDD"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 xml:space="preserve">OPSEU/Exempt </w:t>
            </w:r>
            <w:r w:rsidR="00CD7F1B" w:rsidRPr="00CD7F1B">
              <w:rPr>
                <w:rFonts w:ascii="Arial" w:hAnsi="Arial" w:cs="Arial"/>
                <w:b/>
                <w:color w:val="FFFFFF" w:themeColor="background1"/>
                <w:sz w:val="18"/>
                <w:szCs w:val="18"/>
              </w:rPr>
              <w:t>Payments</w:t>
            </w:r>
          </w:p>
        </w:tc>
        <w:tc>
          <w:tcPr>
            <w:tcW w:w="1525" w:type="dxa"/>
            <w:shd w:val="clear" w:color="auto" w:fill="154734"/>
          </w:tcPr>
          <w:p w14:paraId="5DB4C9DE" w14:textId="77777777" w:rsidR="00A37BDD" w:rsidRPr="00CD7F1B" w:rsidRDefault="00A37BDD"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Total</w:t>
            </w:r>
          </w:p>
          <w:p w14:paraId="7BB13FA8" w14:textId="77777777" w:rsidR="00CD7F1B" w:rsidRPr="00CD7F1B" w:rsidRDefault="00CD7F1B" w:rsidP="00CD7F1B">
            <w:pPr>
              <w:pStyle w:val="ListParagraph"/>
              <w:spacing w:after="120" w:line="240" w:lineRule="auto"/>
              <w:ind w:left="0"/>
              <w:jc w:val="center"/>
              <w:rPr>
                <w:rFonts w:ascii="Arial" w:hAnsi="Arial" w:cs="Arial"/>
                <w:b/>
                <w:color w:val="FFFFFF" w:themeColor="background1"/>
                <w:sz w:val="18"/>
                <w:szCs w:val="18"/>
              </w:rPr>
            </w:pPr>
            <w:r w:rsidRPr="00CD7F1B">
              <w:rPr>
                <w:rFonts w:ascii="Arial" w:hAnsi="Arial" w:cs="Arial"/>
                <w:b/>
                <w:color w:val="FFFFFF" w:themeColor="background1"/>
                <w:sz w:val="18"/>
                <w:szCs w:val="18"/>
              </w:rPr>
              <w:t>Payments</w:t>
            </w:r>
          </w:p>
        </w:tc>
      </w:tr>
      <w:tr w:rsidR="00CD7F1B" w:rsidRPr="00A37BDD" w14:paraId="66739254" w14:textId="77777777" w:rsidTr="00CD7F1B">
        <w:tc>
          <w:tcPr>
            <w:tcW w:w="1452" w:type="dxa"/>
          </w:tcPr>
          <w:p w14:paraId="1DCB3A0F"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Durham</w:t>
            </w:r>
          </w:p>
        </w:tc>
        <w:tc>
          <w:tcPr>
            <w:tcW w:w="1243" w:type="dxa"/>
          </w:tcPr>
          <w:p w14:paraId="187F2107"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28.20</w:t>
            </w:r>
          </w:p>
        </w:tc>
        <w:tc>
          <w:tcPr>
            <w:tcW w:w="1530" w:type="dxa"/>
          </w:tcPr>
          <w:p w14:paraId="6022B945"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$676,777</w:t>
            </w:r>
          </w:p>
        </w:tc>
        <w:tc>
          <w:tcPr>
            <w:tcW w:w="1260" w:type="dxa"/>
          </w:tcPr>
          <w:p w14:paraId="2F2A80F5"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5.69</w:t>
            </w:r>
          </w:p>
        </w:tc>
        <w:tc>
          <w:tcPr>
            <w:tcW w:w="1620" w:type="dxa"/>
          </w:tcPr>
          <w:p w14:paraId="0CA1F845"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$213,188</w:t>
            </w:r>
          </w:p>
        </w:tc>
        <w:tc>
          <w:tcPr>
            <w:tcW w:w="1525" w:type="dxa"/>
          </w:tcPr>
          <w:p w14:paraId="3CBE2A8F"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$889,965</w:t>
            </w:r>
          </w:p>
        </w:tc>
      </w:tr>
      <w:tr w:rsidR="00CD7F1B" w:rsidRPr="00A37BDD" w14:paraId="1ED7F9C9" w14:textId="77777777" w:rsidTr="00CD7F1B">
        <w:tc>
          <w:tcPr>
            <w:tcW w:w="1452" w:type="dxa"/>
          </w:tcPr>
          <w:p w14:paraId="7AC18D4F"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Education</w:t>
            </w:r>
          </w:p>
        </w:tc>
        <w:tc>
          <w:tcPr>
            <w:tcW w:w="1243" w:type="dxa"/>
          </w:tcPr>
          <w:p w14:paraId="6E570602"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13.40</w:t>
            </w:r>
          </w:p>
        </w:tc>
        <w:tc>
          <w:tcPr>
            <w:tcW w:w="1530" w:type="dxa"/>
          </w:tcPr>
          <w:p w14:paraId="1B8E73BD"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$321,589</w:t>
            </w:r>
          </w:p>
        </w:tc>
        <w:tc>
          <w:tcPr>
            <w:tcW w:w="1260" w:type="dxa"/>
          </w:tcPr>
          <w:p w14:paraId="42FADAA0"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6.44</w:t>
            </w:r>
          </w:p>
        </w:tc>
        <w:tc>
          <w:tcPr>
            <w:tcW w:w="1620" w:type="dxa"/>
          </w:tcPr>
          <w:p w14:paraId="2CA1F21C"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$241,289</w:t>
            </w:r>
          </w:p>
        </w:tc>
        <w:tc>
          <w:tcPr>
            <w:tcW w:w="1525" w:type="dxa"/>
          </w:tcPr>
          <w:p w14:paraId="5BD1E8AC"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$562,878</w:t>
            </w:r>
          </w:p>
        </w:tc>
      </w:tr>
      <w:tr w:rsidR="00CD7F1B" w:rsidRPr="00A37BDD" w14:paraId="481C3C4C" w14:textId="77777777" w:rsidTr="00CD7F1B">
        <w:tc>
          <w:tcPr>
            <w:tcW w:w="1452" w:type="dxa"/>
          </w:tcPr>
          <w:p w14:paraId="5E964BB1"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Nursing</w:t>
            </w:r>
          </w:p>
        </w:tc>
        <w:tc>
          <w:tcPr>
            <w:tcW w:w="1243" w:type="dxa"/>
          </w:tcPr>
          <w:p w14:paraId="46E29D91"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13.40</w:t>
            </w:r>
          </w:p>
        </w:tc>
        <w:tc>
          <w:tcPr>
            <w:tcW w:w="1530" w:type="dxa"/>
          </w:tcPr>
          <w:p w14:paraId="7EC39C76"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$321,589</w:t>
            </w:r>
          </w:p>
        </w:tc>
        <w:tc>
          <w:tcPr>
            <w:tcW w:w="1260" w:type="dxa"/>
          </w:tcPr>
          <w:p w14:paraId="31566470"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17.88</w:t>
            </w:r>
          </w:p>
        </w:tc>
        <w:tc>
          <w:tcPr>
            <w:tcW w:w="1620" w:type="dxa"/>
          </w:tcPr>
          <w:p w14:paraId="5A57E30B"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$669,913</w:t>
            </w:r>
          </w:p>
        </w:tc>
        <w:tc>
          <w:tcPr>
            <w:tcW w:w="1525" w:type="dxa"/>
          </w:tcPr>
          <w:p w14:paraId="78AE0C56"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$991,502</w:t>
            </w:r>
          </w:p>
        </w:tc>
      </w:tr>
      <w:tr w:rsidR="00CD7F1B" w:rsidRPr="00A37BDD" w14:paraId="2157F125" w14:textId="77777777" w:rsidTr="00CD7F1B">
        <w:tc>
          <w:tcPr>
            <w:tcW w:w="1452" w:type="dxa"/>
          </w:tcPr>
          <w:p w14:paraId="7E420F97"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Humanities</w:t>
            </w:r>
          </w:p>
        </w:tc>
        <w:tc>
          <w:tcPr>
            <w:tcW w:w="1243" w:type="dxa"/>
          </w:tcPr>
          <w:p w14:paraId="475D07D8"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59.40</w:t>
            </w:r>
          </w:p>
        </w:tc>
        <w:tc>
          <w:tcPr>
            <w:tcW w:w="1530" w:type="dxa"/>
          </w:tcPr>
          <w:p w14:paraId="5702CA33"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$1,425,551</w:t>
            </w:r>
          </w:p>
        </w:tc>
        <w:tc>
          <w:tcPr>
            <w:tcW w:w="1260" w:type="dxa"/>
          </w:tcPr>
          <w:p w14:paraId="2113F37A"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7.01</w:t>
            </w:r>
          </w:p>
        </w:tc>
        <w:tc>
          <w:tcPr>
            <w:tcW w:w="1620" w:type="dxa"/>
          </w:tcPr>
          <w:p w14:paraId="157046D8"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$262,645</w:t>
            </w:r>
          </w:p>
        </w:tc>
        <w:tc>
          <w:tcPr>
            <w:tcW w:w="1525" w:type="dxa"/>
          </w:tcPr>
          <w:p w14:paraId="0F5A96CD"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$1,688,196</w:t>
            </w:r>
          </w:p>
        </w:tc>
      </w:tr>
      <w:tr w:rsidR="00CD7F1B" w:rsidRPr="00A37BDD" w14:paraId="41B933F5" w14:textId="77777777" w:rsidTr="00CD7F1B">
        <w:tc>
          <w:tcPr>
            <w:tcW w:w="1452" w:type="dxa"/>
          </w:tcPr>
          <w:p w14:paraId="45CAD489"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Science</w:t>
            </w:r>
          </w:p>
        </w:tc>
        <w:tc>
          <w:tcPr>
            <w:tcW w:w="1243" w:type="dxa"/>
          </w:tcPr>
          <w:p w14:paraId="1148592C"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94.50</w:t>
            </w:r>
          </w:p>
        </w:tc>
        <w:tc>
          <w:tcPr>
            <w:tcW w:w="1530" w:type="dxa"/>
          </w:tcPr>
          <w:p w14:paraId="1F91B8D0"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$2,267,922</w:t>
            </w:r>
          </w:p>
        </w:tc>
        <w:tc>
          <w:tcPr>
            <w:tcW w:w="1260" w:type="dxa"/>
          </w:tcPr>
          <w:p w14:paraId="346BD682"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35.49</w:t>
            </w:r>
          </w:p>
        </w:tc>
        <w:tc>
          <w:tcPr>
            <w:tcW w:w="1620" w:type="dxa"/>
          </w:tcPr>
          <w:p w14:paraId="281115FD"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$1,329,709</w:t>
            </w:r>
          </w:p>
        </w:tc>
        <w:tc>
          <w:tcPr>
            <w:tcW w:w="1525" w:type="dxa"/>
          </w:tcPr>
          <w:p w14:paraId="32855FCE"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$3,597,631</w:t>
            </w:r>
          </w:p>
        </w:tc>
      </w:tr>
      <w:tr w:rsidR="00CD7F1B" w:rsidRPr="00A37BDD" w14:paraId="4CFF9141" w14:textId="77777777" w:rsidTr="00CD7F1B">
        <w:tc>
          <w:tcPr>
            <w:tcW w:w="1452" w:type="dxa"/>
          </w:tcPr>
          <w:p w14:paraId="790B1AD6" w14:textId="77777777" w:rsidR="00A37BDD" w:rsidRPr="00A37BDD" w:rsidRDefault="00A37BDD" w:rsidP="00A37BDD">
            <w:pPr>
              <w:pStyle w:val="ListParagraph"/>
              <w:spacing w:after="120" w:line="240" w:lineRule="auto"/>
              <w:ind w:left="0"/>
              <w:jc w:val="both"/>
              <w:rPr>
                <w:rFonts w:ascii="Arial" w:hAnsi="Arial" w:cs="Arial"/>
                <w:sz w:val="18"/>
                <w:szCs w:val="18"/>
              </w:rPr>
            </w:pPr>
            <w:r>
              <w:rPr>
                <w:rFonts w:ascii="Arial" w:hAnsi="Arial" w:cs="Arial"/>
                <w:sz w:val="18"/>
                <w:szCs w:val="18"/>
              </w:rPr>
              <w:t>Social Science</w:t>
            </w:r>
          </w:p>
        </w:tc>
        <w:tc>
          <w:tcPr>
            <w:tcW w:w="1243" w:type="dxa"/>
          </w:tcPr>
          <w:p w14:paraId="3A1185F8"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63.70</w:t>
            </w:r>
          </w:p>
        </w:tc>
        <w:tc>
          <w:tcPr>
            <w:tcW w:w="1530" w:type="dxa"/>
          </w:tcPr>
          <w:p w14:paraId="4D4D493E"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$1,528,747</w:t>
            </w:r>
          </w:p>
        </w:tc>
        <w:tc>
          <w:tcPr>
            <w:tcW w:w="1260" w:type="dxa"/>
          </w:tcPr>
          <w:p w14:paraId="28FFBAAC"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14.85</w:t>
            </w:r>
          </w:p>
        </w:tc>
        <w:tc>
          <w:tcPr>
            <w:tcW w:w="1620" w:type="dxa"/>
          </w:tcPr>
          <w:p w14:paraId="75A92894" w14:textId="77777777" w:rsidR="00A37BDD" w:rsidRPr="00CD7F1B" w:rsidRDefault="00CD7F1B" w:rsidP="00CD7F1B">
            <w:pPr>
              <w:pStyle w:val="ListParagraph"/>
              <w:spacing w:after="120" w:line="240" w:lineRule="auto"/>
              <w:ind w:left="0"/>
              <w:jc w:val="right"/>
              <w:rPr>
                <w:rFonts w:ascii="Arial" w:hAnsi="Arial" w:cs="Arial"/>
                <w:sz w:val="18"/>
                <w:szCs w:val="18"/>
              </w:rPr>
            </w:pPr>
            <w:r w:rsidRPr="00CD7F1B">
              <w:rPr>
                <w:rFonts w:ascii="Arial" w:hAnsi="Arial" w:cs="Arial"/>
                <w:sz w:val="18"/>
                <w:szCs w:val="18"/>
              </w:rPr>
              <w:t>$556,387</w:t>
            </w:r>
          </w:p>
        </w:tc>
        <w:tc>
          <w:tcPr>
            <w:tcW w:w="1525" w:type="dxa"/>
          </w:tcPr>
          <w:p w14:paraId="7586BCA2" w14:textId="77777777" w:rsidR="00A37BDD" w:rsidRPr="00CD7F1B" w:rsidRDefault="00CD7F1B" w:rsidP="00CD7F1B">
            <w:pPr>
              <w:pStyle w:val="ListParagraph"/>
              <w:spacing w:after="120" w:line="240" w:lineRule="auto"/>
              <w:ind w:left="0"/>
              <w:jc w:val="right"/>
              <w:rPr>
                <w:rFonts w:ascii="Arial" w:hAnsi="Arial" w:cs="Arial"/>
                <w:sz w:val="18"/>
                <w:szCs w:val="18"/>
              </w:rPr>
            </w:pPr>
            <w:r>
              <w:rPr>
                <w:rFonts w:ascii="Arial" w:hAnsi="Arial" w:cs="Arial"/>
                <w:sz w:val="18"/>
                <w:szCs w:val="18"/>
              </w:rPr>
              <w:t>$2,085,134</w:t>
            </w:r>
          </w:p>
        </w:tc>
      </w:tr>
      <w:tr w:rsidR="00CD7F1B" w:rsidRPr="00CD7F1B" w14:paraId="3FE7F96D" w14:textId="77777777" w:rsidTr="00CD7F1B">
        <w:tc>
          <w:tcPr>
            <w:tcW w:w="1452" w:type="dxa"/>
          </w:tcPr>
          <w:p w14:paraId="037454F1" w14:textId="77777777" w:rsidR="00A37BDD" w:rsidRPr="00CD7F1B" w:rsidRDefault="00A37BDD" w:rsidP="00A37BDD">
            <w:pPr>
              <w:pStyle w:val="ListParagraph"/>
              <w:spacing w:after="120" w:line="240" w:lineRule="auto"/>
              <w:ind w:left="0"/>
              <w:jc w:val="both"/>
              <w:rPr>
                <w:rFonts w:ascii="Arial" w:hAnsi="Arial" w:cs="Arial"/>
                <w:b/>
                <w:sz w:val="18"/>
                <w:szCs w:val="18"/>
              </w:rPr>
            </w:pPr>
            <w:r w:rsidRPr="00CD7F1B">
              <w:rPr>
                <w:rFonts w:ascii="Arial" w:hAnsi="Arial" w:cs="Arial"/>
                <w:b/>
                <w:sz w:val="18"/>
                <w:szCs w:val="18"/>
              </w:rPr>
              <w:t>Total</w:t>
            </w:r>
          </w:p>
        </w:tc>
        <w:tc>
          <w:tcPr>
            <w:tcW w:w="1243" w:type="dxa"/>
          </w:tcPr>
          <w:p w14:paraId="20EB4B5D" w14:textId="77777777" w:rsidR="00A37BDD" w:rsidRPr="00CD7F1B" w:rsidRDefault="00CD7F1B" w:rsidP="00CD7F1B">
            <w:pPr>
              <w:pStyle w:val="ListParagraph"/>
              <w:spacing w:after="120" w:line="240" w:lineRule="auto"/>
              <w:ind w:left="0"/>
              <w:jc w:val="right"/>
              <w:rPr>
                <w:rFonts w:ascii="Arial" w:hAnsi="Arial" w:cs="Arial"/>
                <w:b/>
                <w:sz w:val="18"/>
                <w:szCs w:val="18"/>
              </w:rPr>
            </w:pPr>
            <w:r w:rsidRPr="00CD7F1B">
              <w:rPr>
                <w:rFonts w:ascii="Arial" w:hAnsi="Arial" w:cs="Arial"/>
                <w:b/>
                <w:sz w:val="18"/>
                <w:szCs w:val="18"/>
              </w:rPr>
              <w:t>272.60</w:t>
            </w:r>
          </w:p>
        </w:tc>
        <w:tc>
          <w:tcPr>
            <w:tcW w:w="1530" w:type="dxa"/>
          </w:tcPr>
          <w:p w14:paraId="7DB6EFE5" w14:textId="77777777" w:rsidR="00A37BDD" w:rsidRPr="00CD7F1B" w:rsidRDefault="00CD7F1B" w:rsidP="00CD7F1B">
            <w:pPr>
              <w:pStyle w:val="ListParagraph"/>
              <w:spacing w:after="120" w:line="240" w:lineRule="auto"/>
              <w:ind w:left="0"/>
              <w:jc w:val="right"/>
              <w:rPr>
                <w:rFonts w:ascii="Arial" w:hAnsi="Arial" w:cs="Arial"/>
                <w:b/>
                <w:sz w:val="18"/>
                <w:szCs w:val="18"/>
              </w:rPr>
            </w:pPr>
            <w:r w:rsidRPr="00CD7F1B">
              <w:rPr>
                <w:rFonts w:ascii="Arial" w:hAnsi="Arial" w:cs="Arial"/>
                <w:b/>
                <w:sz w:val="18"/>
                <w:szCs w:val="18"/>
              </w:rPr>
              <w:t>$6,542175</w:t>
            </w:r>
          </w:p>
        </w:tc>
        <w:tc>
          <w:tcPr>
            <w:tcW w:w="1260" w:type="dxa"/>
          </w:tcPr>
          <w:p w14:paraId="6E1E1E79" w14:textId="77777777" w:rsidR="00A37BDD" w:rsidRPr="00CD7F1B" w:rsidRDefault="00CD7F1B" w:rsidP="00CD7F1B">
            <w:pPr>
              <w:pStyle w:val="ListParagraph"/>
              <w:spacing w:after="120" w:line="240" w:lineRule="auto"/>
              <w:ind w:left="0"/>
              <w:jc w:val="right"/>
              <w:rPr>
                <w:rFonts w:ascii="Arial" w:hAnsi="Arial" w:cs="Arial"/>
                <w:b/>
                <w:sz w:val="18"/>
                <w:szCs w:val="18"/>
              </w:rPr>
            </w:pPr>
            <w:r w:rsidRPr="00CD7F1B">
              <w:rPr>
                <w:rFonts w:ascii="Arial" w:hAnsi="Arial" w:cs="Arial"/>
                <w:b/>
                <w:sz w:val="18"/>
                <w:szCs w:val="18"/>
              </w:rPr>
              <w:t>87.36</w:t>
            </w:r>
          </w:p>
        </w:tc>
        <w:tc>
          <w:tcPr>
            <w:tcW w:w="1620" w:type="dxa"/>
          </w:tcPr>
          <w:p w14:paraId="1483F295" w14:textId="77777777" w:rsidR="00A37BDD" w:rsidRPr="00CD7F1B" w:rsidRDefault="00CD7F1B" w:rsidP="00CD7F1B">
            <w:pPr>
              <w:pStyle w:val="ListParagraph"/>
              <w:spacing w:after="120" w:line="240" w:lineRule="auto"/>
              <w:ind w:left="0"/>
              <w:jc w:val="right"/>
              <w:rPr>
                <w:rFonts w:ascii="Arial" w:hAnsi="Arial" w:cs="Arial"/>
                <w:b/>
                <w:sz w:val="18"/>
                <w:szCs w:val="18"/>
              </w:rPr>
            </w:pPr>
            <w:r w:rsidRPr="00CD7F1B">
              <w:rPr>
                <w:rFonts w:ascii="Arial" w:hAnsi="Arial" w:cs="Arial"/>
                <w:b/>
                <w:sz w:val="18"/>
                <w:szCs w:val="18"/>
              </w:rPr>
              <w:t>$3,273,131</w:t>
            </w:r>
          </w:p>
        </w:tc>
        <w:tc>
          <w:tcPr>
            <w:tcW w:w="1525" w:type="dxa"/>
          </w:tcPr>
          <w:p w14:paraId="24FE03E4" w14:textId="77777777" w:rsidR="00A37BDD" w:rsidRPr="00CD7F1B" w:rsidRDefault="00CD7F1B" w:rsidP="00CD7F1B">
            <w:pPr>
              <w:pStyle w:val="ListParagraph"/>
              <w:spacing w:after="120" w:line="240" w:lineRule="auto"/>
              <w:ind w:left="0"/>
              <w:jc w:val="right"/>
              <w:rPr>
                <w:rFonts w:ascii="Arial" w:hAnsi="Arial" w:cs="Arial"/>
                <w:b/>
                <w:sz w:val="18"/>
                <w:szCs w:val="18"/>
              </w:rPr>
            </w:pPr>
            <w:r w:rsidRPr="00CD7F1B">
              <w:rPr>
                <w:rFonts w:ascii="Arial" w:hAnsi="Arial" w:cs="Arial"/>
                <w:b/>
                <w:sz w:val="18"/>
                <w:szCs w:val="18"/>
              </w:rPr>
              <w:t>$9,815,306</w:t>
            </w:r>
          </w:p>
        </w:tc>
      </w:tr>
    </w:tbl>
    <w:p w14:paraId="41589BE5" w14:textId="77777777" w:rsidR="00D6417A" w:rsidRDefault="00A37BDD" w:rsidP="009B215B">
      <w:pPr>
        <w:pStyle w:val="ListParagraph"/>
        <w:numPr>
          <w:ilvl w:val="0"/>
          <w:numId w:val="28"/>
        </w:numPr>
      </w:pPr>
      <w:r w:rsidRPr="009B215B">
        <w:rPr>
          <w:b/>
          <w:color w:val="154734"/>
        </w:rPr>
        <w:t>L</w:t>
      </w:r>
      <w:r w:rsidR="00E42F95" w:rsidRPr="009B215B">
        <w:rPr>
          <w:b/>
          <w:color w:val="154734"/>
        </w:rPr>
        <w:t>ibrary Services</w:t>
      </w:r>
      <w:r w:rsidR="00E42F95" w:rsidRPr="00D6417A">
        <w:t>:  Library costs include operations and acquisitions budgets net of miscellaneous revenue</w:t>
      </w:r>
      <w:r w:rsidR="00D6417A">
        <w:t>,</w:t>
      </w:r>
      <w:r w:rsidR="00E42F95" w:rsidRPr="00D6417A">
        <w:t xml:space="preserve"> such as library fines.  Durham Campus has an on-site library to service its students with support from the Bata Library.  Direct costs for </w:t>
      </w:r>
      <w:r w:rsidR="00D6417A" w:rsidRPr="00D6417A">
        <w:t>Durham</w:t>
      </w:r>
      <w:r w:rsidR="00E42F95" w:rsidRPr="00D6417A">
        <w:t xml:space="preserve"> are separately identified and include the direct staff salaries and benefits.  In order to recognize the support provided by the Bata Library, shared costs will be attributed to Durham </w:t>
      </w:r>
      <w:proofErr w:type="gramStart"/>
      <w:r w:rsidR="00E42F95" w:rsidRPr="00D6417A">
        <w:t>on the basis of</w:t>
      </w:r>
      <w:proofErr w:type="gramEnd"/>
      <w:r w:rsidR="00E42F95" w:rsidRPr="00D6417A">
        <w:t xml:space="preserve"> its undergrad</w:t>
      </w:r>
      <w:r w:rsidR="00D6417A" w:rsidRPr="00D6417A">
        <w:t>u</w:t>
      </w:r>
      <w:r w:rsidR="00E42F95" w:rsidRPr="00D6417A">
        <w:t xml:space="preserve">ate and graduate WGU </w:t>
      </w:r>
      <w:r w:rsidR="00D6417A" w:rsidRPr="00D6417A">
        <w:t>multiplied</w:t>
      </w:r>
      <w:r w:rsidR="00E42F95" w:rsidRPr="00D6417A">
        <w:t xml:space="preserve"> by 20% of the total shared costs plus its direct library costs.  </w:t>
      </w:r>
      <w:r w:rsidR="00D6417A" w:rsidRPr="00D6417A">
        <w:t xml:space="preserve">The Peterborough academic divisions will be attributed the balance of the shared costs based on undergraduate and graduate WGUs. </w:t>
      </w:r>
      <w:r w:rsidR="00D6417A" w:rsidRPr="00F326F9">
        <w:t xml:space="preserve">The 2018/2019 RCM budget (version 2) estimates these </w:t>
      </w:r>
      <w:r w:rsidR="00D6417A">
        <w:t>costs</w:t>
      </w:r>
      <w:r w:rsidR="00D6417A" w:rsidRPr="00F326F9">
        <w:t xml:space="preserve"> to be approximately $</w:t>
      </w:r>
      <w:r w:rsidR="00D6417A">
        <w:t>4.831</w:t>
      </w:r>
      <w:r w:rsidR="00D6417A" w:rsidRPr="00F326F9">
        <w:t xml:space="preserve"> million.</w:t>
      </w:r>
    </w:p>
    <w:p w14:paraId="7F617D19" w14:textId="77777777" w:rsidR="00E37D08" w:rsidRDefault="00E37D08" w:rsidP="009B215B"/>
    <w:p w14:paraId="5A093146" w14:textId="77777777" w:rsidR="00E37D08" w:rsidRDefault="00E37D08" w:rsidP="009B215B">
      <w:pPr>
        <w:pStyle w:val="ListParagraph"/>
        <w:numPr>
          <w:ilvl w:val="0"/>
          <w:numId w:val="28"/>
        </w:numPr>
      </w:pPr>
      <w:r w:rsidRPr="009B215B">
        <w:rPr>
          <w:b/>
          <w:color w:val="154734"/>
        </w:rPr>
        <w:t>Student Services</w:t>
      </w:r>
      <w:r>
        <w:t xml:space="preserve">:  Student Services includes the costs of Recruitment and Admissions, Marketing and Communications, Counselling, </w:t>
      </w:r>
      <w:r w:rsidR="008E21EA">
        <w:t xml:space="preserve">Mental Health Support Services, </w:t>
      </w:r>
      <w:r>
        <w:t xml:space="preserve">Careers Centre, Accessibility Office, Financial Aid Office, Academic Advisors, Academic Skills, and Records and Registration.  The costs are reduced by OUAC and other fees.  </w:t>
      </w:r>
      <w:r w:rsidRPr="00F326F9">
        <w:t xml:space="preserve">The 2018/2019 RCM budget (version 2) estimates these </w:t>
      </w:r>
      <w:r>
        <w:t>costs</w:t>
      </w:r>
      <w:r w:rsidRPr="00F326F9">
        <w:t xml:space="preserve"> to be approximately $</w:t>
      </w:r>
      <w:r>
        <w:t>8.010</w:t>
      </w:r>
      <w:r w:rsidRPr="00F326F9">
        <w:t xml:space="preserve"> million.</w:t>
      </w:r>
    </w:p>
    <w:p w14:paraId="2DB43AC0" w14:textId="77777777" w:rsidR="00E37D08" w:rsidRPr="00E37D08" w:rsidRDefault="00E37D08" w:rsidP="009B215B"/>
    <w:p w14:paraId="763E95F0" w14:textId="77777777" w:rsidR="00C71D05" w:rsidRDefault="00E37D08" w:rsidP="009B215B">
      <w:pPr>
        <w:pStyle w:val="ListParagraph"/>
        <w:numPr>
          <w:ilvl w:val="0"/>
          <w:numId w:val="28"/>
        </w:numPr>
      </w:pPr>
      <w:r>
        <w:t>The offices of Marketing and Communications, Recruitment and Admissions, Records and Registration, and Student Financial Aid provide services of benefit to both the Peterborough and Durham campuses and the total of these costs will be attributed to academic divisions based on undergraduate and graduate FTEs.</w:t>
      </w:r>
    </w:p>
    <w:p w14:paraId="5A0B0F3F" w14:textId="77777777" w:rsidR="00E37D08" w:rsidRDefault="00E37D08" w:rsidP="009B215B"/>
    <w:p w14:paraId="7554D5DA" w14:textId="77777777" w:rsidR="00E37D08" w:rsidRDefault="00E37D08" w:rsidP="009B215B">
      <w:pPr>
        <w:pStyle w:val="ListParagraph"/>
        <w:numPr>
          <w:ilvl w:val="0"/>
          <w:numId w:val="28"/>
        </w:numPr>
      </w:pPr>
      <w:r>
        <w:t xml:space="preserve">Both campuses have separately identified direct costs which provide counselling, academic advisory and other student services specific to the student’s location.  The costs of the Peterborough services will be attributed to the Peterborough academic divisions based on </w:t>
      </w:r>
      <w:r>
        <w:lastRenderedPageBreak/>
        <w:t>undergraduate and graduate FTEs and added to the shared services costs.  Durham Student Affairs direct costs will be added to the Durham portion of the shared services costs.</w:t>
      </w:r>
    </w:p>
    <w:p w14:paraId="529CF099" w14:textId="77777777" w:rsidR="00E37D08" w:rsidRDefault="00E37D08" w:rsidP="009B215B"/>
    <w:p w14:paraId="69C706B4" w14:textId="77777777" w:rsidR="00760BBB" w:rsidRDefault="00E37D08" w:rsidP="009B215B">
      <w:pPr>
        <w:pStyle w:val="ListParagraph"/>
        <w:numPr>
          <w:ilvl w:val="0"/>
          <w:numId w:val="28"/>
        </w:numPr>
      </w:pPr>
      <w:r w:rsidRPr="009B215B">
        <w:rPr>
          <w:b/>
          <w:color w:val="154734"/>
        </w:rPr>
        <w:t>Student Support</w:t>
      </w:r>
      <w:r>
        <w:t xml:space="preserve">:  </w:t>
      </w:r>
      <w:r w:rsidR="00760BBB">
        <w:t>Student support is</w:t>
      </w:r>
      <w:r w:rsidR="00760BBB" w:rsidRPr="00E945A8">
        <w:t xml:space="preserve"> a highly variable</w:t>
      </w:r>
      <w:r w:rsidR="00760BBB">
        <w:t xml:space="preserve"> cost</w:t>
      </w:r>
      <w:r w:rsidR="00760BBB" w:rsidRPr="00E945A8">
        <w:t xml:space="preserve"> dependent primarily on student enrolment.  </w:t>
      </w:r>
    </w:p>
    <w:p w14:paraId="13592187" w14:textId="77777777" w:rsidR="00760BBB" w:rsidRDefault="00760BBB" w:rsidP="009B215B">
      <w:pPr>
        <w:rPr>
          <w:b/>
          <w:color w:val="154734"/>
        </w:rPr>
      </w:pPr>
    </w:p>
    <w:p w14:paraId="5D67EE5D" w14:textId="77777777" w:rsidR="00E37D08" w:rsidRDefault="00E37D08" w:rsidP="009B215B">
      <w:pPr>
        <w:pStyle w:val="ListParagraph"/>
        <w:numPr>
          <w:ilvl w:val="0"/>
          <w:numId w:val="28"/>
        </w:numPr>
      </w:pPr>
      <w:r>
        <w:t xml:space="preserve">Undergraduate student support includes all scholarships, bursaries, awards and prizes funded by the Operating budget.  Costs will be attributed to academic divisions based on undergraduate FTEs. </w:t>
      </w:r>
      <w:r w:rsidRPr="00F326F9">
        <w:t xml:space="preserve">The 2018/2019 RCM budget (version 2) estimates these </w:t>
      </w:r>
      <w:r>
        <w:t>costs</w:t>
      </w:r>
      <w:r w:rsidRPr="00F326F9">
        <w:t xml:space="preserve"> to be approximately $</w:t>
      </w:r>
      <w:r w:rsidR="00760BBB">
        <w:t>8.583</w:t>
      </w:r>
      <w:r w:rsidRPr="00F326F9">
        <w:t xml:space="preserve"> million.</w:t>
      </w:r>
    </w:p>
    <w:p w14:paraId="77305A12" w14:textId="77777777" w:rsidR="00760BBB" w:rsidRDefault="00760BBB" w:rsidP="009B215B"/>
    <w:p w14:paraId="14FC6126" w14:textId="77777777" w:rsidR="00760BBB" w:rsidRDefault="00760BBB" w:rsidP="009B215B">
      <w:pPr>
        <w:pStyle w:val="ListParagraph"/>
        <w:numPr>
          <w:ilvl w:val="0"/>
          <w:numId w:val="28"/>
        </w:numPr>
      </w:pPr>
      <w:r>
        <w:t xml:space="preserve">Graduate student support includes Graduate Teaching Assistants (GTA) salaries and benefits, scholarships, fellowships and fee waivers funded by the Operating budget.  Costs will be attributed to academic divisions based on graduate student full-time headcount.  </w:t>
      </w:r>
      <w:r w:rsidRPr="00F326F9">
        <w:t xml:space="preserve">The 2018/2019 RCM budget (version 2) estimates these </w:t>
      </w:r>
      <w:r>
        <w:t>costs</w:t>
      </w:r>
      <w:r w:rsidRPr="00F326F9">
        <w:t xml:space="preserve"> to be approximately $</w:t>
      </w:r>
      <w:r>
        <w:t>5.422</w:t>
      </w:r>
      <w:r w:rsidRPr="00F326F9">
        <w:t xml:space="preserve"> million.</w:t>
      </w:r>
    </w:p>
    <w:p w14:paraId="3127A4FB" w14:textId="77777777" w:rsidR="00760BBB" w:rsidRDefault="00760BBB" w:rsidP="009B215B"/>
    <w:p w14:paraId="58F0F12C" w14:textId="77777777" w:rsidR="00760BBB" w:rsidRDefault="00760BBB" w:rsidP="009B215B"/>
    <w:p w14:paraId="2E610378" w14:textId="77777777" w:rsidR="00E37D08" w:rsidRDefault="00760BBB" w:rsidP="009B215B">
      <w:pPr>
        <w:pStyle w:val="ListParagraph"/>
        <w:numPr>
          <w:ilvl w:val="0"/>
          <w:numId w:val="28"/>
        </w:numPr>
      </w:pPr>
      <w:r w:rsidRPr="009B215B">
        <w:rPr>
          <w:b/>
          <w:color w:val="154734"/>
        </w:rPr>
        <w:t>Trent International (TI)</w:t>
      </w:r>
      <w:r>
        <w:t xml:space="preserve">:  Trent International costs include the expenses related to the TI office, net of TI application fees and miscellaneous revenue.  Costs will be attributed to the academic divisions based on international student FTEs.  </w:t>
      </w:r>
      <w:r w:rsidRPr="00F326F9">
        <w:t xml:space="preserve">The 2018/2019 RCM budget (version 2) estimates these </w:t>
      </w:r>
      <w:r>
        <w:t>costs</w:t>
      </w:r>
      <w:r w:rsidRPr="00F326F9">
        <w:t xml:space="preserve"> to be approximately $</w:t>
      </w:r>
      <w:r>
        <w:t>870,000</w:t>
      </w:r>
      <w:r w:rsidRPr="00F326F9">
        <w:t>.</w:t>
      </w:r>
    </w:p>
    <w:p w14:paraId="5ACEEE4E" w14:textId="77777777" w:rsidR="00760BBB" w:rsidRDefault="00760BBB" w:rsidP="009B215B"/>
    <w:p w14:paraId="4F990CC3" w14:textId="77777777" w:rsidR="00760BBB" w:rsidRPr="00D6417A" w:rsidRDefault="00760BBB" w:rsidP="009B215B">
      <w:pPr>
        <w:pStyle w:val="ListParagraph"/>
        <w:numPr>
          <w:ilvl w:val="0"/>
          <w:numId w:val="28"/>
        </w:numPr>
      </w:pPr>
      <w:r w:rsidRPr="009B215B">
        <w:rPr>
          <w:b/>
          <w:color w:val="154734"/>
        </w:rPr>
        <w:t xml:space="preserve">Graduate </w:t>
      </w:r>
      <w:r w:rsidR="00B1135A" w:rsidRPr="009B215B">
        <w:rPr>
          <w:b/>
          <w:color w:val="154734"/>
        </w:rPr>
        <w:t>Studies</w:t>
      </w:r>
      <w:r w:rsidRPr="00760BBB">
        <w:t>:</w:t>
      </w:r>
      <w:r>
        <w:t xml:space="preserve">  The Graduate </w:t>
      </w:r>
      <w:r w:rsidR="00B1135A">
        <w:t xml:space="preserve">Studies </w:t>
      </w:r>
      <w:r>
        <w:t xml:space="preserve">cost bin includes the costs of the Graduate Office, net of graduate application fees.  Costs will be allocated to the academic divisions </w:t>
      </w:r>
      <w:proofErr w:type="gramStart"/>
      <w:r>
        <w:t>on the basis of</w:t>
      </w:r>
      <w:proofErr w:type="gramEnd"/>
      <w:r>
        <w:t xml:space="preserve"> graduate student FTEs. </w:t>
      </w:r>
      <w:r w:rsidRPr="00F326F9">
        <w:t xml:space="preserve">The 2018/2019 RCM budget (version 2) estimates these </w:t>
      </w:r>
      <w:r>
        <w:t>costs</w:t>
      </w:r>
      <w:r w:rsidRPr="00F326F9">
        <w:t xml:space="preserve"> to be approximately $</w:t>
      </w:r>
      <w:r>
        <w:t>1.175</w:t>
      </w:r>
      <w:r w:rsidRPr="00F326F9">
        <w:t xml:space="preserve"> million.</w:t>
      </w:r>
      <w:r>
        <w:t xml:space="preserve"> </w:t>
      </w:r>
    </w:p>
    <w:p w14:paraId="3D8B7A4B" w14:textId="77777777" w:rsidR="003B7159" w:rsidRDefault="003B7159" w:rsidP="003B7159">
      <w:pPr>
        <w:spacing w:after="240" w:line="240" w:lineRule="auto"/>
        <w:jc w:val="both"/>
        <w:rPr>
          <w:rFonts w:ascii="Arial" w:hAnsi="Arial" w:cs="Arial"/>
          <w:sz w:val="24"/>
          <w:szCs w:val="24"/>
        </w:rPr>
      </w:pPr>
    </w:p>
    <w:p w14:paraId="2ADF66D7" w14:textId="77777777" w:rsidR="003B7159" w:rsidRPr="003B7159" w:rsidRDefault="003B7159" w:rsidP="009B215B">
      <w:r>
        <w:t xml:space="preserve">RCM at Trent University continues to evolve as it is gradually implemented over the next few years.  </w:t>
      </w:r>
      <w:r w:rsidRPr="003B7159">
        <w:t xml:space="preserve">In the future, RCM principles may be expanded to other operating units within the University, and/or may </w:t>
      </w:r>
      <w:proofErr w:type="gramStart"/>
      <w:r w:rsidRPr="003B7159">
        <w:t>take into account</w:t>
      </w:r>
      <w:proofErr w:type="gramEnd"/>
      <w:r w:rsidRPr="003B7159">
        <w:t xml:space="preserve"> other sources of revenue and expenditure, for example, research revenue and revenue from graduate programs.</w:t>
      </w:r>
    </w:p>
    <w:p w14:paraId="5779068B" w14:textId="77777777" w:rsidR="00E22C1D" w:rsidRDefault="00E22C1D" w:rsidP="009B215B">
      <w:r>
        <w:br w:type="page"/>
      </w:r>
    </w:p>
    <w:p w14:paraId="58FCE46D" w14:textId="77777777" w:rsidR="006955E2" w:rsidRPr="00E22C1D" w:rsidRDefault="006955E2" w:rsidP="006955E2">
      <w:pPr>
        <w:spacing w:after="240" w:line="240" w:lineRule="auto"/>
        <w:jc w:val="both"/>
        <w:rPr>
          <w:rFonts w:ascii="Arial" w:hAnsi="Arial" w:cs="Arial"/>
          <w:b/>
          <w:color w:val="5B7F95"/>
          <w:sz w:val="24"/>
          <w:szCs w:val="24"/>
        </w:rPr>
      </w:pPr>
      <w:r w:rsidRPr="001B40EE">
        <w:rPr>
          <w:rFonts w:ascii="Arial" w:hAnsi="Arial" w:cs="Arial"/>
          <w:b/>
          <w:sz w:val="24"/>
          <w:szCs w:val="24"/>
        </w:rPr>
        <w:lastRenderedPageBreak/>
        <w:t>Summary of Revenue and Expense Components and Drivers</w:t>
      </w:r>
    </w:p>
    <w:tbl>
      <w:tblPr>
        <w:tblStyle w:val="TableGrid"/>
        <w:tblW w:w="0" w:type="auto"/>
        <w:tblLook w:val="04A0" w:firstRow="1" w:lastRow="0" w:firstColumn="1" w:lastColumn="0" w:noHBand="0" w:noVBand="1"/>
      </w:tblPr>
      <w:tblGrid>
        <w:gridCol w:w="2335"/>
        <w:gridCol w:w="4050"/>
        <w:gridCol w:w="2965"/>
      </w:tblGrid>
      <w:tr w:rsidR="00AD1C79" w:rsidRPr="006E4CDA" w14:paraId="150886B5" w14:textId="77777777" w:rsidTr="00274C83">
        <w:tc>
          <w:tcPr>
            <w:tcW w:w="2335" w:type="dxa"/>
            <w:shd w:val="clear" w:color="auto" w:fill="154734"/>
          </w:tcPr>
          <w:p w14:paraId="78D412F2" w14:textId="77777777" w:rsidR="00CE4D41" w:rsidRPr="006E4CDA" w:rsidRDefault="00E22C1D" w:rsidP="00AD1C79">
            <w:pPr>
              <w:spacing w:after="120" w:line="240" w:lineRule="auto"/>
              <w:jc w:val="center"/>
              <w:rPr>
                <w:rFonts w:ascii="Arial" w:hAnsi="Arial" w:cs="Arial"/>
                <w:b/>
                <w:color w:val="FFFFFF" w:themeColor="background1"/>
                <w:sz w:val="18"/>
                <w:szCs w:val="18"/>
              </w:rPr>
            </w:pPr>
            <w:r w:rsidRPr="006E4CDA">
              <w:rPr>
                <w:rFonts w:ascii="Arial" w:hAnsi="Arial" w:cs="Arial"/>
                <w:b/>
                <w:color w:val="FFFFFF" w:themeColor="background1"/>
                <w:sz w:val="18"/>
                <w:szCs w:val="18"/>
              </w:rPr>
              <w:t>Revenue</w:t>
            </w:r>
          </w:p>
        </w:tc>
        <w:tc>
          <w:tcPr>
            <w:tcW w:w="4050" w:type="dxa"/>
            <w:shd w:val="clear" w:color="auto" w:fill="154734"/>
          </w:tcPr>
          <w:p w14:paraId="7AE7B696" w14:textId="77777777" w:rsidR="00CE4D41" w:rsidRPr="006E4CDA" w:rsidRDefault="00AD1C79" w:rsidP="00AD1C79">
            <w:pPr>
              <w:spacing w:after="120" w:line="240" w:lineRule="auto"/>
              <w:jc w:val="center"/>
              <w:rPr>
                <w:rFonts w:ascii="Arial" w:hAnsi="Arial" w:cs="Arial"/>
                <w:b/>
                <w:color w:val="FFFFFF" w:themeColor="background1"/>
                <w:sz w:val="18"/>
                <w:szCs w:val="18"/>
              </w:rPr>
            </w:pPr>
            <w:r w:rsidRPr="006E4CDA">
              <w:rPr>
                <w:rFonts w:ascii="Arial" w:hAnsi="Arial" w:cs="Arial"/>
                <w:b/>
                <w:color w:val="FFFFFF" w:themeColor="background1"/>
                <w:sz w:val="18"/>
                <w:szCs w:val="18"/>
              </w:rPr>
              <w:t>Components</w:t>
            </w:r>
          </w:p>
        </w:tc>
        <w:tc>
          <w:tcPr>
            <w:tcW w:w="2965" w:type="dxa"/>
            <w:shd w:val="clear" w:color="auto" w:fill="154734"/>
          </w:tcPr>
          <w:p w14:paraId="26548F41" w14:textId="77777777" w:rsidR="00CE4D41" w:rsidRPr="006E4CDA" w:rsidRDefault="00AD1C79" w:rsidP="00AD1C79">
            <w:pPr>
              <w:spacing w:after="120" w:line="240" w:lineRule="auto"/>
              <w:jc w:val="center"/>
              <w:rPr>
                <w:rFonts w:ascii="Arial" w:hAnsi="Arial" w:cs="Arial"/>
                <w:b/>
                <w:color w:val="FFFFFF" w:themeColor="background1"/>
                <w:sz w:val="18"/>
                <w:szCs w:val="18"/>
              </w:rPr>
            </w:pPr>
            <w:r w:rsidRPr="006E4CDA">
              <w:rPr>
                <w:rFonts w:ascii="Arial" w:hAnsi="Arial" w:cs="Arial"/>
                <w:b/>
                <w:color w:val="FFFFFF" w:themeColor="background1"/>
                <w:sz w:val="18"/>
                <w:szCs w:val="18"/>
              </w:rPr>
              <w:t>Allocation Driver</w:t>
            </w:r>
          </w:p>
        </w:tc>
      </w:tr>
      <w:tr w:rsidR="00CE4D41" w:rsidRPr="006E4CDA" w14:paraId="591809F4" w14:textId="77777777" w:rsidTr="00274C83">
        <w:tc>
          <w:tcPr>
            <w:tcW w:w="2335" w:type="dxa"/>
          </w:tcPr>
          <w:p w14:paraId="03249C48" w14:textId="77777777" w:rsidR="00CE4D41" w:rsidRPr="006E4CDA" w:rsidRDefault="00E22C1D" w:rsidP="00274C83">
            <w:pPr>
              <w:spacing w:after="0" w:line="240" w:lineRule="auto"/>
              <w:rPr>
                <w:rFonts w:ascii="Arial" w:hAnsi="Arial" w:cs="Arial"/>
                <w:sz w:val="18"/>
                <w:szCs w:val="18"/>
              </w:rPr>
            </w:pPr>
            <w:r w:rsidRPr="006E4CDA">
              <w:rPr>
                <w:rFonts w:ascii="Arial" w:hAnsi="Arial" w:cs="Arial"/>
                <w:sz w:val="18"/>
                <w:szCs w:val="18"/>
              </w:rPr>
              <w:t>Provincial Operating Grants</w:t>
            </w:r>
          </w:p>
        </w:tc>
        <w:tc>
          <w:tcPr>
            <w:tcW w:w="4050" w:type="dxa"/>
          </w:tcPr>
          <w:p w14:paraId="2E8C376C"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All grants except research grants (separate category) and municipal tax grant (offset against occupancy costs)</w:t>
            </w:r>
          </w:p>
        </w:tc>
        <w:tc>
          <w:tcPr>
            <w:tcW w:w="2965" w:type="dxa"/>
          </w:tcPr>
          <w:p w14:paraId="5436E5BB"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Total WGUs</w:t>
            </w:r>
          </w:p>
        </w:tc>
      </w:tr>
      <w:tr w:rsidR="00CE4D41" w:rsidRPr="006E4CDA" w14:paraId="3C4D1BC5" w14:textId="77777777" w:rsidTr="00274C83">
        <w:tc>
          <w:tcPr>
            <w:tcW w:w="2335" w:type="dxa"/>
          </w:tcPr>
          <w:p w14:paraId="0A42B960" w14:textId="77777777" w:rsidR="00CE4D41" w:rsidRPr="006E4CDA" w:rsidRDefault="00E22C1D" w:rsidP="00274C83">
            <w:pPr>
              <w:spacing w:after="0" w:line="240" w:lineRule="auto"/>
              <w:rPr>
                <w:rFonts w:ascii="Arial" w:hAnsi="Arial" w:cs="Arial"/>
                <w:sz w:val="18"/>
                <w:szCs w:val="18"/>
              </w:rPr>
            </w:pPr>
            <w:r w:rsidRPr="006E4CDA">
              <w:rPr>
                <w:rFonts w:ascii="Arial" w:hAnsi="Arial" w:cs="Arial"/>
                <w:sz w:val="18"/>
                <w:szCs w:val="18"/>
              </w:rPr>
              <w:t xml:space="preserve">Tuition Fees </w:t>
            </w:r>
          </w:p>
        </w:tc>
        <w:tc>
          <w:tcPr>
            <w:tcW w:w="4050" w:type="dxa"/>
          </w:tcPr>
          <w:p w14:paraId="3CCE4249"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Based on FTEs and tuition rates</w:t>
            </w:r>
          </w:p>
        </w:tc>
        <w:tc>
          <w:tcPr>
            <w:tcW w:w="2965" w:type="dxa"/>
          </w:tcPr>
          <w:p w14:paraId="4FD1BD04"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Total FTEs</w:t>
            </w:r>
          </w:p>
        </w:tc>
      </w:tr>
      <w:tr w:rsidR="00CE4D41" w:rsidRPr="006E4CDA" w14:paraId="6A2A7116" w14:textId="77777777" w:rsidTr="00274C83">
        <w:tc>
          <w:tcPr>
            <w:tcW w:w="2335" w:type="dxa"/>
          </w:tcPr>
          <w:p w14:paraId="752F1BD2" w14:textId="77777777" w:rsidR="00CE4D41" w:rsidRPr="006E4CDA" w:rsidRDefault="00E22C1D" w:rsidP="00274C83">
            <w:pPr>
              <w:spacing w:after="0" w:line="240" w:lineRule="auto"/>
              <w:rPr>
                <w:rFonts w:ascii="Arial" w:hAnsi="Arial" w:cs="Arial"/>
                <w:sz w:val="18"/>
                <w:szCs w:val="18"/>
              </w:rPr>
            </w:pPr>
            <w:r w:rsidRPr="006E4CDA">
              <w:rPr>
                <w:rFonts w:ascii="Arial" w:hAnsi="Arial" w:cs="Arial"/>
                <w:sz w:val="18"/>
                <w:szCs w:val="18"/>
              </w:rPr>
              <w:t>Research Grants</w:t>
            </w:r>
          </w:p>
        </w:tc>
        <w:tc>
          <w:tcPr>
            <w:tcW w:w="4050" w:type="dxa"/>
          </w:tcPr>
          <w:p w14:paraId="2B4B3D87"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Research Support Funds (RSF) and Research Overhead Infrastructure Envelope (ROIE) grants</w:t>
            </w:r>
          </w:p>
        </w:tc>
        <w:tc>
          <w:tcPr>
            <w:tcW w:w="2965" w:type="dxa"/>
          </w:tcPr>
          <w:p w14:paraId="00842FCD"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3-year average Tri-Council awards, slipped by 2 years</w:t>
            </w:r>
          </w:p>
        </w:tc>
      </w:tr>
      <w:tr w:rsidR="00CE4D41" w:rsidRPr="006E4CDA" w14:paraId="23D63DF7" w14:textId="77777777" w:rsidTr="00274C83">
        <w:tc>
          <w:tcPr>
            <w:tcW w:w="2335" w:type="dxa"/>
          </w:tcPr>
          <w:p w14:paraId="794139DF"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Durham Service Teaching</w:t>
            </w:r>
          </w:p>
        </w:tc>
        <w:tc>
          <w:tcPr>
            <w:tcW w:w="4050" w:type="dxa"/>
          </w:tcPr>
          <w:p w14:paraId="5656265B"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Grant revenue allocation from UOIT for service teaching</w:t>
            </w:r>
          </w:p>
        </w:tc>
        <w:tc>
          <w:tcPr>
            <w:tcW w:w="2965" w:type="dxa"/>
          </w:tcPr>
          <w:p w14:paraId="420A651F"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Direct allocation to Durham</w:t>
            </w:r>
          </w:p>
        </w:tc>
      </w:tr>
      <w:tr w:rsidR="00CE4D41" w:rsidRPr="006E4CDA" w14:paraId="5A0D6CEE" w14:textId="77777777" w:rsidTr="00274C83">
        <w:tc>
          <w:tcPr>
            <w:tcW w:w="2335" w:type="dxa"/>
          </w:tcPr>
          <w:p w14:paraId="6D13EF30" w14:textId="77777777" w:rsidR="00AD1C79" w:rsidRPr="006E4CDA" w:rsidRDefault="0029480C" w:rsidP="0029480C">
            <w:pPr>
              <w:spacing w:after="0" w:line="240" w:lineRule="auto"/>
              <w:rPr>
                <w:rFonts w:ascii="Arial" w:hAnsi="Arial" w:cs="Arial"/>
                <w:sz w:val="18"/>
                <w:szCs w:val="18"/>
              </w:rPr>
            </w:pPr>
            <w:r>
              <w:rPr>
                <w:rFonts w:ascii="Arial" w:hAnsi="Arial" w:cs="Arial"/>
                <w:sz w:val="18"/>
                <w:szCs w:val="18"/>
              </w:rPr>
              <w:t xml:space="preserve">Revenue Transfer from </w:t>
            </w:r>
            <w:r w:rsidR="00AD1C79" w:rsidRPr="006E4CDA">
              <w:rPr>
                <w:rFonts w:ascii="Arial" w:hAnsi="Arial" w:cs="Arial"/>
                <w:sz w:val="18"/>
                <w:szCs w:val="18"/>
              </w:rPr>
              <w:t xml:space="preserve">Additional Qualifications </w:t>
            </w:r>
          </w:p>
        </w:tc>
        <w:tc>
          <w:tcPr>
            <w:tcW w:w="4050" w:type="dxa"/>
          </w:tcPr>
          <w:p w14:paraId="30CC0910" w14:textId="77777777" w:rsidR="00CE4D41" w:rsidRPr="006E4CDA" w:rsidRDefault="0029480C" w:rsidP="0029480C">
            <w:pPr>
              <w:spacing w:after="0" w:line="240" w:lineRule="auto"/>
              <w:rPr>
                <w:rFonts w:ascii="Arial" w:hAnsi="Arial" w:cs="Arial"/>
                <w:sz w:val="18"/>
                <w:szCs w:val="18"/>
              </w:rPr>
            </w:pPr>
            <w:r>
              <w:rPr>
                <w:rFonts w:ascii="Arial" w:hAnsi="Arial" w:cs="Arial"/>
                <w:sz w:val="18"/>
                <w:szCs w:val="18"/>
              </w:rPr>
              <w:t>Portion of r</w:t>
            </w:r>
            <w:r w:rsidR="00AD1C79" w:rsidRPr="006E4CDA">
              <w:rPr>
                <w:rFonts w:ascii="Arial" w:hAnsi="Arial" w:cs="Arial"/>
                <w:sz w:val="18"/>
                <w:szCs w:val="18"/>
              </w:rPr>
              <w:t>evenue from additional qualification (AQ) and additional basic qualification (ABQ) courses</w:t>
            </w:r>
            <w:r>
              <w:rPr>
                <w:rFonts w:ascii="Arial" w:hAnsi="Arial" w:cs="Arial"/>
                <w:sz w:val="18"/>
                <w:szCs w:val="18"/>
              </w:rPr>
              <w:t xml:space="preserve"> transferred to the operating budget</w:t>
            </w:r>
          </w:p>
        </w:tc>
        <w:tc>
          <w:tcPr>
            <w:tcW w:w="2965" w:type="dxa"/>
          </w:tcPr>
          <w:p w14:paraId="1E8471C6"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Direct allocation to Education</w:t>
            </w:r>
          </w:p>
        </w:tc>
      </w:tr>
      <w:tr w:rsidR="00CE4D41" w:rsidRPr="006E4CDA" w14:paraId="3B4D8B30" w14:textId="77777777" w:rsidTr="00274C83">
        <w:tc>
          <w:tcPr>
            <w:tcW w:w="2335" w:type="dxa"/>
          </w:tcPr>
          <w:p w14:paraId="5018C28C"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Other Income</w:t>
            </w:r>
          </w:p>
        </w:tc>
        <w:tc>
          <w:tcPr>
            <w:tcW w:w="4050" w:type="dxa"/>
          </w:tcPr>
          <w:p w14:paraId="60EC57C3"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Interest income, ancillary revenue and miscellaneous revenue</w:t>
            </w:r>
          </w:p>
        </w:tc>
        <w:tc>
          <w:tcPr>
            <w:tcW w:w="2965" w:type="dxa"/>
          </w:tcPr>
          <w:p w14:paraId="65EFCB0C"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Total Revenue</w:t>
            </w:r>
          </w:p>
        </w:tc>
      </w:tr>
    </w:tbl>
    <w:p w14:paraId="28E185A2" w14:textId="77777777" w:rsidR="006E4CDA" w:rsidRPr="0029480C" w:rsidRDefault="006E4CDA" w:rsidP="00274C83">
      <w:pPr>
        <w:spacing w:after="0"/>
        <w:rPr>
          <w:rFonts w:ascii="Arial" w:hAnsi="Arial" w:cs="Arial"/>
          <w:sz w:val="12"/>
          <w:szCs w:val="12"/>
        </w:rPr>
      </w:pPr>
    </w:p>
    <w:tbl>
      <w:tblPr>
        <w:tblStyle w:val="TableGrid"/>
        <w:tblW w:w="0" w:type="auto"/>
        <w:tblLook w:val="04A0" w:firstRow="1" w:lastRow="0" w:firstColumn="1" w:lastColumn="0" w:noHBand="0" w:noVBand="1"/>
      </w:tblPr>
      <w:tblGrid>
        <w:gridCol w:w="2335"/>
        <w:gridCol w:w="4050"/>
        <w:gridCol w:w="2965"/>
      </w:tblGrid>
      <w:tr w:rsidR="00AD1C79" w:rsidRPr="006E4CDA" w14:paraId="38877AA8" w14:textId="77777777" w:rsidTr="00274C83">
        <w:tc>
          <w:tcPr>
            <w:tcW w:w="2335" w:type="dxa"/>
            <w:shd w:val="clear" w:color="auto" w:fill="5B7F95"/>
          </w:tcPr>
          <w:p w14:paraId="6ED05F7B" w14:textId="77777777" w:rsidR="00AD1C79" w:rsidRPr="006E4CDA" w:rsidRDefault="00AD1C79" w:rsidP="00274C83">
            <w:pPr>
              <w:spacing w:after="0" w:line="240" w:lineRule="auto"/>
              <w:rPr>
                <w:rFonts w:ascii="Arial" w:hAnsi="Arial" w:cs="Arial"/>
                <w:b/>
                <w:sz w:val="18"/>
                <w:szCs w:val="18"/>
              </w:rPr>
            </w:pPr>
            <w:r w:rsidRPr="001B40EE">
              <w:rPr>
                <w:rFonts w:ascii="Arial" w:hAnsi="Arial" w:cs="Arial"/>
                <w:b/>
                <w:sz w:val="18"/>
                <w:szCs w:val="18"/>
              </w:rPr>
              <w:t>University Fund</w:t>
            </w:r>
          </w:p>
        </w:tc>
        <w:tc>
          <w:tcPr>
            <w:tcW w:w="4050" w:type="dxa"/>
          </w:tcPr>
          <w:p w14:paraId="4AEBE466"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5% for rebalancing and university strategic priorities</w:t>
            </w:r>
          </w:p>
        </w:tc>
        <w:tc>
          <w:tcPr>
            <w:tcW w:w="2965" w:type="dxa"/>
          </w:tcPr>
          <w:p w14:paraId="56A5FA7D"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Total Revenue</w:t>
            </w:r>
          </w:p>
        </w:tc>
      </w:tr>
    </w:tbl>
    <w:p w14:paraId="4079526D" w14:textId="77777777" w:rsidR="006E4CDA" w:rsidRPr="0029480C" w:rsidRDefault="006E4CDA" w:rsidP="00274C83">
      <w:pPr>
        <w:spacing w:after="0"/>
        <w:rPr>
          <w:rFonts w:ascii="Arial" w:hAnsi="Arial" w:cs="Arial"/>
          <w:sz w:val="12"/>
          <w:szCs w:val="12"/>
        </w:rPr>
      </w:pPr>
    </w:p>
    <w:tbl>
      <w:tblPr>
        <w:tblStyle w:val="TableGrid"/>
        <w:tblW w:w="0" w:type="auto"/>
        <w:tblLook w:val="04A0" w:firstRow="1" w:lastRow="0" w:firstColumn="1" w:lastColumn="0" w:noHBand="0" w:noVBand="1"/>
      </w:tblPr>
      <w:tblGrid>
        <w:gridCol w:w="2335"/>
        <w:gridCol w:w="4050"/>
        <w:gridCol w:w="2965"/>
      </w:tblGrid>
      <w:tr w:rsidR="00274C83" w:rsidRPr="006E4CDA" w14:paraId="4F7F3C06" w14:textId="77777777" w:rsidTr="00274C83">
        <w:tc>
          <w:tcPr>
            <w:tcW w:w="2335" w:type="dxa"/>
            <w:shd w:val="clear" w:color="auto" w:fill="154734"/>
          </w:tcPr>
          <w:p w14:paraId="095BFFCF" w14:textId="77777777" w:rsidR="00274C83" w:rsidRPr="006E4CDA" w:rsidRDefault="00274C83" w:rsidP="006B1799">
            <w:pPr>
              <w:spacing w:after="12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Shared Services Costs</w:t>
            </w:r>
          </w:p>
        </w:tc>
        <w:tc>
          <w:tcPr>
            <w:tcW w:w="4050" w:type="dxa"/>
            <w:shd w:val="clear" w:color="auto" w:fill="154734"/>
          </w:tcPr>
          <w:p w14:paraId="2971645E" w14:textId="77777777" w:rsidR="00274C83" w:rsidRPr="006E4CDA" w:rsidRDefault="00274C83" w:rsidP="006B1799">
            <w:pPr>
              <w:spacing w:after="120" w:line="240" w:lineRule="auto"/>
              <w:jc w:val="center"/>
              <w:rPr>
                <w:rFonts w:ascii="Arial" w:hAnsi="Arial" w:cs="Arial"/>
                <w:b/>
                <w:color w:val="FFFFFF" w:themeColor="background1"/>
                <w:sz w:val="18"/>
                <w:szCs w:val="18"/>
              </w:rPr>
            </w:pPr>
            <w:r w:rsidRPr="006E4CDA">
              <w:rPr>
                <w:rFonts w:ascii="Arial" w:hAnsi="Arial" w:cs="Arial"/>
                <w:b/>
                <w:color w:val="FFFFFF" w:themeColor="background1"/>
                <w:sz w:val="18"/>
                <w:szCs w:val="18"/>
              </w:rPr>
              <w:t>Components</w:t>
            </w:r>
          </w:p>
        </w:tc>
        <w:tc>
          <w:tcPr>
            <w:tcW w:w="2965" w:type="dxa"/>
            <w:shd w:val="clear" w:color="auto" w:fill="154734"/>
          </w:tcPr>
          <w:p w14:paraId="7E243E84" w14:textId="77777777" w:rsidR="00274C83" w:rsidRPr="006E4CDA" w:rsidRDefault="00274C83" w:rsidP="006B1799">
            <w:pPr>
              <w:spacing w:after="120" w:line="240" w:lineRule="auto"/>
              <w:jc w:val="center"/>
              <w:rPr>
                <w:rFonts w:ascii="Arial" w:hAnsi="Arial" w:cs="Arial"/>
                <w:b/>
                <w:color w:val="FFFFFF" w:themeColor="background1"/>
                <w:sz w:val="18"/>
                <w:szCs w:val="18"/>
              </w:rPr>
            </w:pPr>
            <w:r w:rsidRPr="006E4CDA">
              <w:rPr>
                <w:rFonts w:ascii="Arial" w:hAnsi="Arial" w:cs="Arial"/>
                <w:b/>
                <w:color w:val="FFFFFF" w:themeColor="background1"/>
                <w:sz w:val="18"/>
                <w:szCs w:val="18"/>
              </w:rPr>
              <w:t>Allocation Driver</w:t>
            </w:r>
          </w:p>
        </w:tc>
      </w:tr>
      <w:tr w:rsidR="00AD1C79" w:rsidRPr="006E4CDA" w14:paraId="50C24832" w14:textId="77777777" w:rsidTr="00274C83">
        <w:tc>
          <w:tcPr>
            <w:tcW w:w="2335" w:type="dxa"/>
          </w:tcPr>
          <w:p w14:paraId="5F2E8593"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Occupancy Costs</w:t>
            </w:r>
          </w:p>
        </w:tc>
        <w:tc>
          <w:tcPr>
            <w:tcW w:w="4050" w:type="dxa"/>
          </w:tcPr>
          <w:p w14:paraId="16C7389D"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Facilities Management (FM) operating budget (caretaking, utilities, building maintenance, grounds, repairs, locksmith, waste, municipal taxes; offset by SAPH and MNR lease revenue, municipal tax grant, occupancy cost transfers to Ancillary departments</w:t>
            </w:r>
          </w:p>
        </w:tc>
        <w:tc>
          <w:tcPr>
            <w:tcW w:w="2965" w:type="dxa"/>
          </w:tcPr>
          <w:p w14:paraId="73D39B33" w14:textId="77777777" w:rsidR="006E4CDA" w:rsidRDefault="006E4CDA" w:rsidP="00274C83">
            <w:pPr>
              <w:spacing w:after="0" w:line="240" w:lineRule="auto"/>
              <w:rPr>
                <w:rFonts w:ascii="Arial" w:hAnsi="Arial" w:cs="Arial"/>
                <w:sz w:val="18"/>
                <w:szCs w:val="18"/>
              </w:rPr>
            </w:pPr>
            <w:r>
              <w:rPr>
                <w:rFonts w:ascii="Arial" w:hAnsi="Arial" w:cs="Arial"/>
                <w:sz w:val="18"/>
                <w:szCs w:val="18"/>
              </w:rPr>
              <w:t xml:space="preserve">Assigned net square feet per FM space database; Academic space adjusted for WGU factor; </w:t>
            </w:r>
          </w:p>
          <w:p w14:paraId="17F5EE43"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Durham</w:t>
            </w:r>
            <w:r w:rsidR="00274C83">
              <w:rPr>
                <w:rFonts w:ascii="Arial" w:hAnsi="Arial" w:cs="Arial"/>
                <w:sz w:val="18"/>
                <w:szCs w:val="18"/>
              </w:rPr>
              <w:t xml:space="preserve"> – </w:t>
            </w:r>
            <w:r>
              <w:rPr>
                <w:rFonts w:ascii="Arial" w:hAnsi="Arial" w:cs="Arial"/>
                <w:sz w:val="18"/>
                <w:szCs w:val="18"/>
              </w:rPr>
              <w:t>direct costs; Classroo</w:t>
            </w:r>
            <w:r w:rsidR="00274C83">
              <w:rPr>
                <w:rFonts w:ascii="Arial" w:hAnsi="Arial" w:cs="Arial"/>
                <w:sz w:val="18"/>
                <w:szCs w:val="18"/>
              </w:rPr>
              <w:t>ms –</w:t>
            </w:r>
            <w:r>
              <w:rPr>
                <w:rFonts w:ascii="Arial" w:hAnsi="Arial" w:cs="Arial"/>
                <w:sz w:val="18"/>
                <w:szCs w:val="18"/>
              </w:rPr>
              <w:t xml:space="preserve"> scheduled hours </w:t>
            </w:r>
            <w:r w:rsidR="00274C83">
              <w:rPr>
                <w:rFonts w:ascii="Arial" w:hAnsi="Arial" w:cs="Arial"/>
                <w:sz w:val="18"/>
                <w:szCs w:val="18"/>
              </w:rPr>
              <w:t xml:space="preserve">Grad Student Offices – </w:t>
            </w:r>
            <w:r>
              <w:rPr>
                <w:rFonts w:ascii="Arial" w:hAnsi="Arial" w:cs="Arial"/>
                <w:sz w:val="18"/>
                <w:szCs w:val="18"/>
              </w:rPr>
              <w:t>Grad FTE</w:t>
            </w:r>
          </w:p>
        </w:tc>
      </w:tr>
      <w:tr w:rsidR="00AD1C79" w:rsidRPr="006E4CDA" w14:paraId="373E87B2" w14:textId="77777777" w:rsidTr="00274C83">
        <w:tc>
          <w:tcPr>
            <w:tcW w:w="2335" w:type="dxa"/>
          </w:tcPr>
          <w:p w14:paraId="4858876C"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Principal and Interest</w:t>
            </w:r>
          </w:p>
        </w:tc>
        <w:tc>
          <w:tcPr>
            <w:tcW w:w="4050" w:type="dxa"/>
          </w:tcPr>
          <w:p w14:paraId="07500B3C"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Principal and interest payment related to operating fund facilities</w:t>
            </w:r>
          </w:p>
        </w:tc>
        <w:tc>
          <w:tcPr>
            <w:tcW w:w="2965" w:type="dxa"/>
          </w:tcPr>
          <w:p w14:paraId="24CBBDD6"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Total Revenue</w:t>
            </w:r>
          </w:p>
        </w:tc>
      </w:tr>
      <w:tr w:rsidR="00AD1C79" w:rsidRPr="006E4CDA" w14:paraId="4945BBBF" w14:textId="77777777" w:rsidTr="00274C83">
        <w:tc>
          <w:tcPr>
            <w:tcW w:w="2335" w:type="dxa"/>
          </w:tcPr>
          <w:p w14:paraId="74E8800B"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University Management</w:t>
            </w:r>
          </w:p>
        </w:tc>
        <w:tc>
          <w:tcPr>
            <w:tcW w:w="4050" w:type="dxa"/>
          </w:tcPr>
          <w:p w14:paraId="168511AC"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President, Vice-Presidents, Secretariat, Human Rights, Financial Services, Institutional Planning &amp; Analysis, Mail Room, Risk Management, Security &amp; Safety, Convocation Office, Alumni, Government &amp; Community Relations, Advancement plus general expense including legal fees, insurance, audit fees and PVP contingency funds</w:t>
            </w:r>
          </w:p>
        </w:tc>
        <w:tc>
          <w:tcPr>
            <w:tcW w:w="2965" w:type="dxa"/>
          </w:tcPr>
          <w:p w14:paraId="0A03A7B7"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Total Revenue</w:t>
            </w:r>
          </w:p>
        </w:tc>
      </w:tr>
      <w:tr w:rsidR="00AD1C79" w:rsidRPr="006E4CDA" w14:paraId="3273B7D1" w14:textId="77777777" w:rsidTr="00274C83">
        <w:tc>
          <w:tcPr>
            <w:tcW w:w="2335" w:type="dxa"/>
          </w:tcPr>
          <w:p w14:paraId="134064EF"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Information Technology</w:t>
            </w:r>
          </w:p>
        </w:tc>
        <w:tc>
          <w:tcPr>
            <w:tcW w:w="4050" w:type="dxa"/>
          </w:tcPr>
          <w:p w14:paraId="286CD06F"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IT operating budget including AV operations; assume 43% academic and 57% IT Admin</w:t>
            </w:r>
          </w:p>
        </w:tc>
        <w:tc>
          <w:tcPr>
            <w:tcW w:w="2965" w:type="dxa"/>
          </w:tcPr>
          <w:p w14:paraId="71850139" w14:textId="77777777" w:rsidR="00AD1C79" w:rsidRDefault="0029480C" w:rsidP="00274C83">
            <w:pPr>
              <w:spacing w:after="0" w:line="240" w:lineRule="auto"/>
              <w:rPr>
                <w:rFonts w:ascii="Arial" w:hAnsi="Arial" w:cs="Arial"/>
                <w:sz w:val="18"/>
                <w:szCs w:val="18"/>
              </w:rPr>
            </w:pPr>
            <w:r>
              <w:rPr>
                <w:rFonts w:ascii="Arial" w:hAnsi="Arial" w:cs="Arial"/>
                <w:sz w:val="18"/>
                <w:szCs w:val="18"/>
              </w:rPr>
              <w:t xml:space="preserve">IT </w:t>
            </w:r>
            <w:r w:rsidR="006E4CDA">
              <w:rPr>
                <w:rFonts w:ascii="Arial" w:hAnsi="Arial" w:cs="Arial"/>
                <w:sz w:val="18"/>
                <w:szCs w:val="18"/>
              </w:rPr>
              <w:t>Academic – UG/Grad FTE</w:t>
            </w:r>
            <w:r w:rsidR="00274C83">
              <w:rPr>
                <w:rFonts w:ascii="Arial" w:hAnsi="Arial" w:cs="Arial"/>
                <w:sz w:val="18"/>
                <w:szCs w:val="18"/>
              </w:rPr>
              <w:t>s</w:t>
            </w:r>
          </w:p>
          <w:p w14:paraId="168CCBD0" w14:textId="77777777" w:rsidR="006E4CDA" w:rsidRPr="006E4CDA" w:rsidRDefault="006E4CDA" w:rsidP="00274C83">
            <w:pPr>
              <w:spacing w:after="0" w:line="240" w:lineRule="auto"/>
              <w:rPr>
                <w:rFonts w:ascii="Arial" w:hAnsi="Arial" w:cs="Arial"/>
                <w:sz w:val="18"/>
                <w:szCs w:val="18"/>
              </w:rPr>
            </w:pPr>
            <w:r>
              <w:rPr>
                <w:rFonts w:ascii="Arial" w:hAnsi="Arial" w:cs="Arial"/>
                <w:sz w:val="18"/>
                <w:szCs w:val="18"/>
              </w:rPr>
              <w:t>IT Admin – faculty &amp; staff FTE</w:t>
            </w:r>
            <w:r w:rsidR="00274C83">
              <w:rPr>
                <w:rFonts w:ascii="Arial" w:hAnsi="Arial" w:cs="Arial"/>
                <w:sz w:val="18"/>
                <w:szCs w:val="18"/>
              </w:rPr>
              <w:t>s</w:t>
            </w:r>
          </w:p>
        </w:tc>
      </w:tr>
      <w:tr w:rsidR="00AD1C79" w:rsidRPr="006E4CDA" w14:paraId="73AFC1CB" w14:textId="77777777" w:rsidTr="00274C83">
        <w:tc>
          <w:tcPr>
            <w:tcW w:w="2335" w:type="dxa"/>
          </w:tcPr>
          <w:p w14:paraId="1C5F8AD2"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Human Resources</w:t>
            </w:r>
          </w:p>
        </w:tc>
        <w:tc>
          <w:tcPr>
            <w:tcW w:w="4050" w:type="dxa"/>
          </w:tcPr>
          <w:p w14:paraId="185D4F1E"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HR operating budget</w:t>
            </w:r>
          </w:p>
        </w:tc>
        <w:tc>
          <w:tcPr>
            <w:tcW w:w="2965" w:type="dxa"/>
          </w:tcPr>
          <w:p w14:paraId="4EB0E78C" w14:textId="77777777" w:rsidR="00AD1C79" w:rsidRPr="006E4CDA" w:rsidRDefault="006E4CDA" w:rsidP="00274C83">
            <w:pPr>
              <w:spacing w:after="0" w:line="240" w:lineRule="auto"/>
              <w:rPr>
                <w:rFonts w:ascii="Arial" w:hAnsi="Arial" w:cs="Arial"/>
                <w:sz w:val="18"/>
                <w:szCs w:val="18"/>
              </w:rPr>
            </w:pPr>
            <w:r>
              <w:rPr>
                <w:rFonts w:ascii="Arial" w:hAnsi="Arial" w:cs="Arial"/>
                <w:sz w:val="18"/>
                <w:szCs w:val="18"/>
              </w:rPr>
              <w:t>Faculty &amp; staff FTE</w:t>
            </w:r>
            <w:r w:rsidR="00274C83">
              <w:rPr>
                <w:rFonts w:ascii="Arial" w:hAnsi="Arial" w:cs="Arial"/>
                <w:sz w:val="18"/>
                <w:szCs w:val="18"/>
              </w:rPr>
              <w:t>s</w:t>
            </w:r>
          </w:p>
        </w:tc>
      </w:tr>
      <w:tr w:rsidR="00AD1C79" w:rsidRPr="006E4CDA" w14:paraId="76F536F2" w14:textId="77777777" w:rsidTr="00274C83">
        <w:tc>
          <w:tcPr>
            <w:tcW w:w="2335" w:type="dxa"/>
          </w:tcPr>
          <w:p w14:paraId="38AA8414"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Pension Special Payments</w:t>
            </w:r>
          </w:p>
        </w:tc>
        <w:tc>
          <w:tcPr>
            <w:tcW w:w="4050" w:type="dxa"/>
          </w:tcPr>
          <w:p w14:paraId="0099CC82"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TUFA and OPSEU/Exempt pension plan solvency, going-concern and SRA payments</w:t>
            </w:r>
          </w:p>
        </w:tc>
        <w:tc>
          <w:tcPr>
            <w:tcW w:w="2965" w:type="dxa"/>
          </w:tcPr>
          <w:p w14:paraId="27475784"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Faculty &amp; staff FTEs</w:t>
            </w:r>
          </w:p>
        </w:tc>
      </w:tr>
      <w:tr w:rsidR="00AD1C79" w:rsidRPr="006E4CDA" w14:paraId="1FF3398E" w14:textId="77777777" w:rsidTr="00274C83">
        <w:tc>
          <w:tcPr>
            <w:tcW w:w="2335" w:type="dxa"/>
          </w:tcPr>
          <w:p w14:paraId="3849DF02"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Library Services</w:t>
            </w:r>
          </w:p>
        </w:tc>
        <w:tc>
          <w:tcPr>
            <w:tcW w:w="4050" w:type="dxa"/>
          </w:tcPr>
          <w:p w14:paraId="04FD1FFB"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Library operating and acquisitions budgets</w:t>
            </w:r>
          </w:p>
        </w:tc>
        <w:tc>
          <w:tcPr>
            <w:tcW w:w="2965" w:type="dxa"/>
          </w:tcPr>
          <w:p w14:paraId="7DC081E6" w14:textId="77777777" w:rsidR="00AD1C79" w:rsidRDefault="00274C83" w:rsidP="00274C83">
            <w:pPr>
              <w:spacing w:after="0" w:line="240" w:lineRule="auto"/>
              <w:rPr>
                <w:rFonts w:ascii="Arial" w:hAnsi="Arial" w:cs="Arial"/>
                <w:sz w:val="18"/>
                <w:szCs w:val="18"/>
              </w:rPr>
            </w:pPr>
            <w:r>
              <w:rPr>
                <w:rFonts w:ascii="Arial" w:hAnsi="Arial" w:cs="Arial"/>
                <w:sz w:val="18"/>
                <w:szCs w:val="18"/>
              </w:rPr>
              <w:t>UG/Grad WGUs</w:t>
            </w:r>
          </w:p>
          <w:p w14:paraId="5D444AB7" w14:textId="77777777" w:rsidR="00274C83" w:rsidRPr="006E4CDA" w:rsidRDefault="00274C83" w:rsidP="00274C83">
            <w:pPr>
              <w:spacing w:after="0" w:line="240" w:lineRule="auto"/>
              <w:rPr>
                <w:rFonts w:ascii="Arial" w:hAnsi="Arial" w:cs="Arial"/>
                <w:sz w:val="18"/>
                <w:szCs w:val="18"/>
              </w:rPr>
            </w:pPr>
            <w:r>
              <w:rPr>
                <w:rFonts w:ascii="Arial" w:hAnsi="Arial" w:cs="Arial"/>
                <w:sz w:val="18"/>
                <w:szCs w:val="18"/>
              </w:rPr>
              <w:t>Durham – direct costs plus 20% of shared costs</w:t>
            </w:r>
          </w:p>
        </w:tc>
      </w:tr>
      <w:tr w:rsidR="00AD1C79" w:rsidRPr="006E4CDA" w14:paraId="3A961BA6" w14:textId="77777777" w:rsidTr="00274C83">
        <w:tc>
          <w:tcPr>
            <w:tcW w:w="2335" w:type="dxa"/>
          </w:tcPr>
          <w:p w14:paraId="50F3C5B7"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Student Services</w:t>
            </w:r>
          </w:p>
        </w:tc>
        <w:tc>
          <w:tcPr>
            <w:tcW w:w="4050" w:type="dxa"/>
          </w:tcPr>
          <w:p w14:paraId="32F4E21C" w14:textId="77777777" w:rsidR="00AD1C79" w:rsidRPr="006E4CDA" w:rsidRDefault="00274C83" w:rsidP="0029480C">
            <w:pPr>
              <w:spacing w:after="0" w:line="240" w:lineRule="auto"/>
              <w:rPr>
                <w:rFonts w:ascii="Arial" w:hAnsi="Arial" w:cs="Arial"/>
                <w:sz w:val="18"/>
                <w:szCs w:val="18"/>
              </w:rPr>
            </w:pPr>
            <w:r>
              <w:rPr>
                <w:rFonts w:ascii="Arial" w:hAnsi="Arial" w:cs="Arial"/>
                <w:sz w:val="18"/>
                <w:szCs w:val="18"/>
              </w:rPr>
              <w:t xml:space="preserve">Records &amp; Registration, Office of Students, Counselling, </w:t>
            </w:r>
            <w:r w:rsidR="0029480C">
              <w:rPr>
                <w:rFonts w:ascii="Arial" w:hAnsi="Arial" w:cs="Arial"/>
                <w:sz w:val="18"/>
                <w:szCs w:val="18"/>
              </w:rPr>
              <w:t xml:space="preserve">Mental Health Support Services, </w:t>
            </w:r>
            <w:r>
              <w:rPr>
                <w:rFonts w:ascii="Arial" w:hAnsi="Arial" w:cs="Arial"/>
                <w:sz w:val="18"/>
                <w:szCs w:val="18"/>
              </w:rPr>
              <w:t xml:space="preserve">Careers Centre, Accessibility Office, Financial Aid Office, Academic Advisors, Community-based </w:t>
            </w:r>
            <w:r w:rsidR="0029480C">
              <w:rPr>
                <w:rFonts w:ascii="Arial" w:hAnsi="Arial" w:cs="Arial"/>
                <w:sz w:val="18"/>
                <w:szCs w:val="18"/>
              </w:rPr>
              <w:t>Research</w:t>
            </w:r>
            <w:r>
              <w:rPr>
                <w:rFonts w:ascii="Arial" w:hAnsi="Arial" w:cs="Arial"/>
                <w:sz w:val="18"/>
                <w:szCs w:val="18"/>
              </w:rPr>
              <w:t>, Academic Skills Centre &amp; Retention, Marketing &amp; Communications, Recruitment &amp; Admissions</w:t>
            </w:r>
          </w:p>
        </w:tc>
        <w:tc>
          <w:tcPr>
            <w:tcW w:w="2965" w:type="dxa"/>
          </w:tcPr>
          <w:p w14:paraId="779323D6" w14:textId="77777777" w:rsidR="00AD1C79" w:rsidRDefault="00274C83" w:rsidP="00274C83">
            <w:pPr>
              <w:spacing w:after="0" w:line="240" w:lineRule="auto"/>
              <w:rPr>
                <w:rFonts w:ascii="Arial" w:hAnsi="Arial" w:cs="Arial"/>
                <w:sz w:val="18"/>
                <w:szCs w:val="18"/>
              </w:rPr>
            </w:pPr>
            <w:r>
              <w:rPr>
                <w:rFonts w:ascii="Arial" w:hAnsi="Arial" w:cs="Arial"/>
                <w:sz w:val="18"/>
                <w:szCs w:val="18"/>
              </w:rPr>
              <w:t>UG/Grad FTEs excluding Student Affairs</w:t>
            </w:r>
          </w:p>
          <w:p w14:paraId="62D2B683" w14:textId="77777777" w:rsidR="00274C83" w:rsidRDefault="00274C83" w:rsidP="00274C83">
            <w:pPr>
              <w:spacing w:after="0" w:line="240" w:lineRule="auto"/>
              <w:rPr>
                <w:rFonts w:ascii="Arial" w:hAnsi="Arial" w:cs="Arial"/>
                <w:sz w:val="18"/>
                <w:szCs w:val="18"/>
              </w:rPr>
            </w:pPr>
            <w:r>
              <w:rPr>
                <w:rFonts w:ascii="Arial" w:hAnsi="Arial" w:cs="Arial"/>
                <w:sz w:val="18"/>
                <w:szCs w:val="18"/>
              </w:rPr>
              <w:t>Peterborough Student Affairs – UG/Grad FTE</w:t>
            </w:r>
          </w:p>
          <w:p w14:paraId="48B09D7A" w14:textId="77777777" w:rsidR="00274C83" w:rsidRPr="006E4CDA" w:rsidRDefault="00274C83" w:rsidP="00274C83">
            <w:pPr>
              <w:spacing w:after="0" w:line="240" w:lineRule="auto"/>
              <w:rPr>
                <w:rFonts w:ascii="Arial" w:hAnsi="Arial" w:cs="Arial"/>
                <w:sz w:val="18"/>
                <w:szCs w:val="18"/>
              </w:rPr>
            </w:pPr>
            <w:r>
              <w:rPr>
                <w:rFonts w:ascii="Arial" w:hAnsi="Arial" w:cs="Arial"/>
                <w:sz w:val="18"/>
                <w:szCs w:val="18"/>
              </w:rPr>
              <w:t>Durham Student Affairs – direct cost</w:t>
            </w:r>
          </w:p>
        </w:tc>
      </w:tr>
      <w:tr w:rsidR="00AD1C79" w:rsidRPr="006E4CDA" w14:paraId="55DCE4CA" w14:textId="77777777" w:rsidTr="00274C83">
        <w:tc>
          <w:tcPr>
            <w:tcW w:w="2335" w:type="dxa"/>
          </w:tcPr>
          <w:p w14:paraId="2BAF9057" w14:textId="77777777" w:rsidR="00AD1C79" w:rsidRPr="006E4CDA" w:rsidRDefault="00AD1C79" w:rsidP="00274C83">
            <w:pPr>
              <w:spacing w:after="0" w:line="240" w:lineRule="auto"/>
              <w:rPr>
                <w:rFonts w:ascii="Arial" w:hAnsi="Arial" w:cs="Arial"/>
                <w:sz w:val="18"/>
                <w:szCs w:val="18"/>
              </w:rPr>
            </w:pPr>
            <w:r w:rsidRPr="006E4CDA">
              <w:rPr>
                <w:rFonts w:ascii="Arial" w:hAnsi="Arial" w:cs="Arial"/>
                <w:sz w:val="18"/>
                <w:szCs w:val="18"/>
              </w:rPr>
              <w:t>Student Support – Undergraduate</w:t>
            </w:r>
          </w:p>
        </w:tc>
        <w:tc>
          <w:tcPr>
            <w:tcW w:w="4050" w:type="dxa"/>
          </w:tcPr>
          <w:p w14:paraId="094115B4"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Scholarships and bursaries</w:t>
            </w:r>
          </w:p>
        </w:tc>
        <w:tc>
          <w:tcPr>
            <w:tcW w:w="2965" w:type="dxa"/>
          </w:tcPr>
          <w:p w14:paraId="20EA416E"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Undergraduate FTEs</w:t>
            </w:r>
          </w:p>
        </w:tc>
      </w:tr>
      <w:tr w:rsidR="00CE4D41" w:rsidRPr="006E4CDA" w14:paraId="4009B122" w14:textId="77777777" w:rsidTr="00274C83">
        <w:tc>
          <w:tcPr>
            <w:tcW w:w="2335" w:type="dxa"/>
          </w:tcPr>
          <w:p w14:paraId="1641EC55" w14:textId="77777777" w:rsidR="00CE4D41" w:rsidRPr="006E4CDA" w:rsidRDefault="00AD1C79" w:rsidP="00274C83">
            <w:pPr>
              <w:spacing w:after="0" w:line="240" w:lineRule="auto"/>
              <w:rPr>
                <w:rFonts w:ascii="Arial" w:hAnsi="Arial" w:cs="Arial"/>
                <w:sz w:val="18"/>
                <w:szCs w:val="18"/>
              </w:rPr>
            </w:pPr>
            <w:r w:rsidRPr="006E4CDA">
              <w:rPr>
                <w:rFonts w:ascii="Arial" w:hAnsi="Arial" w:cs="Arial"/>
                <w:sz w:val="18"/>
                <w:szCs w:val="18"/>
              </w:rPr>
              <w:t xml:space="preserve">Student Support – Graduate </w:t>
            </w:r>
          </w:p>
        </w:tc>
        <w:tc>
          <w:tcPr>
            <w:tcW w:w="4050" w:type="dxa"/>
          </w:tcPr>
          <w:p w14:paraId="7A142F46" w14:textId="77777777" w:rsidR="00CE4D41" w:rsidRPr="006E4CDA" w:rsidRDefault="00274C83" w:rsidP="00274C83">
            <w:pPr>
              <w:spacing w:after="0" w:line="240" w:lineRule="auto"/>
              <w:rPr>
                <w:rFonts w:ascii="Arial" w:hAnsi="Arial" w:cs="Arial"/>
                <w:sz w:val="18"/>
                <w:szCs w:val="18"/>
              </w:rPr>
            </w:pPr>
            <w:r>
              <w:rPr>
                <w:rFonts w:ascii="Arial" w:hAnsi="Arial" w:cs="Arial"/>
                <w:sz w:val="18"/>
                <w:szCs w:val="18"/>
              </w:rPr>
              <w:t>GTAs and scholarships and awards</w:t>
            </w:r>
          </w:p>
        </w:tc>
        <w:tc>
          <w:tcPr>
            <w:tcW w:w="2965" w:type="dxa"/>
          </w:tcPr>
          <w:p w14:paraId="73668BAF" w14:textId="77777777" w:rsidR="00CE4D41" w:rsidRPr="006E4CDA" w:rsidRDefault="00274C83" w:rsidP="00274C83">
            <w:pPr>
              <w:spacing w:after="0" w:line="240" w:lineRule="auto"/>
              <w:rPr>
                <w:rFonts w:ascii="Arial" w:hAnsi="Arial" w:cs="Arial"/>
                <w:sz w:val="18"/>
                <w:szCs w:val="18"/>
              </w:rPr>
            </w:pPr>
            <w:r>
              <w:rPr>
                <w:rFonts w:ascii="Arial" w:hAnsi="Arial" w:cs="Arial"/>
                <w:sz w:val="18"/>
                <w:szCs w:val="18"/>
              </w:rPr>
              <w:t>Graduate full-time headcount</w:t>
            </w:r>
          </w:p>
        </w:tc>
      </w:tr>
      <w:tr w:rsidR="00AD1C79" w:rsidRPr="006E4CDA" w14:paraId="5532BABA" w14:textId="77777777" w:rsidTr="00274C83">
        <w:tc>
          <w:tcPr>
            <w:tcW w:w="2335" w:type="dxa"/>
          </w:tcPr>
          <w:p w14:paraId="4EDD493B" w14:textId="77777777" w:rsidR="00AD1C79" w:rsidRPr="006E4CDA" w:rsidRDefault="00AD1C79" w:rsidP="0029480C">
            <w:pPr>
              <w:spacing w:after="0" w:line="240" w:lineRule="auto"/>
              <w:rPr>
                <w:rFonts w:ascii="Arial" w:hAnsi="Arial" w:cs="Arial"/>
                <w:sz w:val="18"/>
                <w:szCs w:val="18"/>
              </w:rPr>
            </w:pPr>
            <w:r w:rsidRPr="006E4CDA">
              <w:rPr>
                <w:rFonts w:ascii="Arial" w:hAnsi="Arial" w:cs="Arial"/>
                <w:sz w:val="18"/>
                <w:szCs w:val="18"/>
              </w:rPr>
              <w:t xml:space="preserve">Trent International </w:t>
            </w:r>
          </w:p>
        </w:tc>
        <w:tc>
          <w:tcPr>
            <w:tcW w:w="4050" w:type="dxa"/>
          </w:tcPr>
          <w:p w14:paraId="1A4F3B25" w14:textId="77777777" w:rsidR="00AD1C79" w:rsidRPr="006E4CDA" w:rsidRDefault="00274C83" w:rsidP="00B1135A">
            <w:pPr>
              <w:spacing w:after="0" w:line="240" w:lineRule="auto"/>
              <w:rPr>
                <w:rFonts w:ascii="Arial" w:hAnsi="Arial" w:cs="Arial"/>
                <w:sz w:val="18"/>
                <w:szCs w:val="18"/>
              </w:rPr>
            </w:pPr>
            <w:r>
              <w:rPr>
                <w:rFonts w:ascii="Arial" w:hAnsi="Arial" w:cs="Arial"/>
                <w:sz w:val="18"/>
                <w:szCs w:val="18"/>
              </w:rPr>
              <w:t>TI office operating budget</w:t>
            </w:r>
          </w:p>
        </w:tc>
        <w:tc>
          <w:tcPr>
            <w:tcW w:w="2965" w:type="dxa"/>
          </w:tcPr>
          <w:p w14:paraId="6C9CC4B1"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International FTEs</w:t>
            </w:r>
          </w:p>
        </w:tc>
      </w:tr>
      <w:tr w:rsidR="00AD1C79" w:rsidRPr="006E4CDA" w14:paraId="5AE39F87" w14:textId="77777777" w:rsidTr="00274C83">
        <w:tc>
          <w:tcPr>
            <w:tcW w:w="2335" w:type="dxa"/>
          </w:tcPr>
          <w:p w14:paraId="1632584D" w14:textId="77777777" w:rsidR="00AD1C79" w:rsidRPr="006E4CDA" w:rsidRDefault="0029480C" w:rsidP="00274C83">
            <w:pPr>
              <w:spacing w:after="0" w:line="240" w:lineRule="auto"/>
              <w:rPr>
                <w:rFonts w:ascii="Arial" w:hAnsi="Arial" w:cs="Arial"/>
                <w:sz w:val="18"/>
                <w:szCs w:val="18"/>
              </w:rPr>
            </w:pPr>
            <w:r>
              <w:rPr>
                <w:rFonts w:ascii="Arial" w:hAnsi="Arial" w:cs="Arial"/>
                <w:sz w:val="18"/>
                <w:szCs w:val="18"/>
              </w:rPr>
              <w:t>G</w:t>
            </w:r>
            <w:r w:rsidR="00AD1C79" w:rsidRPr="006E4CDA">
              <w:rPr>
                <w:rFonts w:ascii="Arial" w:hAnsi="Arial" w:cs="Arial"/>
                <w:sz w:val="18"/>
                <w:szCs w:val="18"/>
              </w:rPr>
              <w:t>raduate Office</w:t>
            </w:r>
          </w:p>
        </w:tc>
        <w:tc>
          <w:tcPr>
            <w:tcW w:w="4050" w:type="dxa"/>
          </w:tcPr>
          <w:p w14:paraId="24723693"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Graduate office operating budget</w:t>
            </w:r>
          </w:p>
        </w:tc>
        <w:tc>
          <w:tcPr>
            <w:tcW w:w="2965" w:type="dxa"/>
          </w:tcPr>
          <w:p w14:paraId="4CA46C82" w14:textId="77777777" w:rsidR="00AD1C79" w:rsidRPr="006E4CDA" w:rsidRDefault="00274C83" w:rsidP="00274C83">
            <w:pPr>
              <w:spacing w:after="0" w:line="240" w:lineRule="auto"/>
              <w:rPr>
                <w:rFonts w:ascii="Arial" w:hAnsi="Arial" w:cs="Arial"/>
                <w:sz w:val="18"/>
                <w:szCs w:val="18"/>
              </w:rPr>
            </w:pPr>
            <w:r>
              <w:rPr>
                <w:rFonts w:ascii="Arial" w:hAnsi="Arial" w:cs="Arial"/>
                <w:sz w:val="18"/>
                <w:szCs w:val="18"/>
              </w:rPr>
              <w:t>Graduate FTEs</w:t>
            </w:r>
          </w:p>
        </w:tc>
      </w:tr>
    </w:tbl>
    <w:p w14:paraId="696BD1E3" w14:textId="4B333B57" w:rsidR="00C41BA4" w:rsidRPr="006E4CDA" w:rsidRDefault="00C41BA4" w:rsidP="0029480C">
      <w:pPr>
        <w:spacing w:after="240" w:line="240" w:lineRule="auto"/>
        <w:rPr>
          <w:rFonts w:ascii="Arial" w:hAnsi="Arial" w:cs="Arial"/>
          <w:sz w:val="18"/>
          <w:szCs w:val="18"/>
        </w:rPr>
      </w:pPr>
    </w:p>
    <w:sectPr w:rsidR="00C41BA4" w:rsidRPr="006E4CDA" w:rsidSect="00A53E41">
      <w:headerReference w:type="default" r:id="rId18"/>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EC3D" w14:textId="77777777" w:rsidR="004504AD" w:rsidRDefault="004504AD" w:rsidP="00B463A5">
      <w:pPr>
        <w:spacing w:after="0" w:line="240" w:lineRule="auto"/>
      </w:pPr>
      <w:r>
        <w:separator/>
      </w:r>
    </w:p>
  </w:endnote>
  <w:endnote w:type="continuationSeparator" w:id="0">
    <w:p w14:paraId="4115A2E5" w14:textId="77777777" w:rsidR="004504AD" w:rsidRDefault="004504AD" w:rsidP="00B4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64318108"/>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6AA37842" w14:textId="77777777" w:rsidR="004504AD" w:rsidRPr="006955E2" w:rsidRDefault="004504AD">
            <w:pPr>
              <w:pStyle w:val="Footer"/>
              <w:jc w:val="center"/>
              <w:rPr>
                <w:rFonts w:ascii="Arial" w:hAnsi="Arial" w:cs="Arial"/>
                <w:sz w:val="18"/>
                <w:szCs w:val="18"/>
              </w:rPr>
            </w:pPr>
            <w:r w:rsidRPr="006955E2">
              <w:rPr>
                <w:rFonts w:ascii="Arial" w:hAnsi="Arial" w:cs="Arial"/>
                <w:sz w:val="18"/>
                <w:szCs w:val="18"/>
              </w:rPr>
              <w:t xml:space="preserve">Page </w:t>
            </w:r>
            <w:r w:rsidRPr="006955E2">
              <w:rPr>
                <w:rFonts w:ascii="Arial" w:hAnsi="Arial" w:cs="Arial"/>
                <w:bCs/>
                <w:sz w:val="18"/>
                <w:szCs w:val="18"/>
              </w:rPr>
              <w:fldChar w:fldCharType="begin"/>
            </w:r>
            <w:r w:rsidRPr="006955E2">
              <w:rPr>
                <w:rFonts w:ascii="Arial" w:hAnsi="Arial" w:cs="Arial"/>
                <w:bCs/>
                <w:sz w:val="18"/>
                <w:szCs w:val="18"/>
              </w:rPr>
              <w:instrText xml:space="preserve"> PAGE </w:instrText>
            </w:r>
            <w:r w:rsidRPr="006955E2">
              <w:rPr>
                <w:rFonts w:ascii="Arial" w:hAnsi="Arial" w:cs="Arial"/>
                <w:bCs/>
                <w:sz w:val="18"/>
                <w:szCs w:val="18"/>
              </w:rPr>
              <w:fldChar w:fldCharType="separate"/>
            </w:r>
            <w:r w:rsidR="00A97AE3">
              <w:rPr>
                <w:rFonts w:ascii="Arial" w:hAnsi="Arial" w:cs="Arial"/>
                <w:bCs/>
                <w:noProof/>
                <w:sz w:val="18"/>
                <w:szCs w:val="18"/>
              </w:rPr>
              <w:t>18</w:t>
            </w:r>
            <w:r w:rsidRPr="006955E2">
              <w:rPr>
                <w:rFonts w:ascii="Arial" w:hAnsi="Arial" w:cs="Arial"/>
                <w:bCs/>
                <w:sz w:val="18"/>
                <w:szCs w:val="18"/>
              </w:rPr>
              <w:fldChar w:fldCharType="end"/>
            </w:r>
            <w:r w:rsidRPr="006955E2">
              <w:rPr>
                <w:rFonts w:ascii="Arial" w:hAnsi="Arial" w:cs="Arial"/>
                <w:sz w:val="18"/>
                <w:szCs w:val="18"/>
              </w:rPr>
              <w:t xml:space="preserve"> of </w:t>
            </w:r>
            <w:r w:rsidRPr="006955E2">
              <w:rPr>
                <w:rFonts w:ascii="Arial" w:hAnsi="Arial" w:cs="Arial"/>
                <w:bCs/>
                <w:sz w:val="18"/>
                <w:szCs w:val="18"/>
              </w:rPr>
              <w:fldChar w:fldCharType="begin"/>
            </w:r>
            <w:r w:rsidRPr="006955E2">
              <w:rPr>
                <w:rFonts w:ascii="Arial" w:hAnsi="Arial" w:cs="Arial"/>
                <w:bCs/>
                <w:sz w:val="18"/>
                <w:szCs w:val="18"/>
              </w:rPr>
              <w:instrText xml:space="preserve"> NUMPAGES  </w:instrText>
            </w:r>
            <w:r w:rsidRPr="006955E2">
              <w:rPr>
                <w:rFonts w:ascii="Arial" w:hAnsi="Arial" w:cs="Arial"/>
                <w:bCs/>
                <w:sz w:val="18"/>
                <w:szCs w:val="18"/>
              </w:rPr>
              <w:fldChar w:fldCharType="separate"/>
            </w:r>
            <w:r w:rsidR="00A97AE3">
              <w:rPr>
                <w:rFonts w:ascii="Arial" w:hAnsi="Arial" w:cs="Arial"/>
                <w:bCs/>
                <w:noProof/>
                <w:sz w:val="18"/>
                <w:szCs w:val="18"/>
              </w:rPr>
              <w:t>18</w:t>
            </w:r>
            <w:r w:rsidRPr="006955E2">
              <w:rPr>
                <w:rFonts w:ascii="Arial" w:hAnsi="Arial" w:cs="Arial"/>
                <w:bCs/>
                <w:sz w:val="18"/>
                <w:szCs w:val="18"/>
              </w:rPr>
              <w:fldChar w:fldCharType="end"/>
            </w:r>
          </w:p>
        </w:sdtContent>
      </w:sdt>
    </w:sdtContent>
  </w:sdt>
  <w:p w14:paraId="1C4966D4" w14:textId="77777777" w:rsidR="004504AD" w:rsidRDefault="0045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8E34" w14:textId="77777777" w:rsidR="004504AD" w:rsidRDefault="004504AD" w:rsidP="00B463A5">
      <w:pPr>
        <w:spacing w:after="0" w:line="240" w:lineRule="auto"/>
      </w:pPr>
      <w:r>
        <w:separator/>
      </w:r>
    </w:p>
  </w:footnote>
  <w:footnote w:type="continuationSeparator" w:id="0">
    <w:p w14:paraId="2071C651" w14:textId="77777777" w:rsidR="004504AD" w:rsidRDefault="004504AD" w:rsidP="00B4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BED0" w14:textId="77777777" w:rsidR="004504AD" w:rsidRDefault="0045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680" type="#_x0000_t75" style="width:26.25pt;height:9pt;visibility:visible;mso-wrap-style:square" o:bullet="t">
        <v:imagedata r:id="rId1" o:title=""/>
      </v:shape>
    </w:pict>
  </w:numPicBullet>
  <w:abstractNum w:abstractNumId="0" w15:restartNumberingAfterBreak="0">
    <w:nsid w:val="02854914"/>
    <w:multiLevelType w:val="hybridMultilevel"/>
    <w:tmpl w:val="84BCA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80775"/>
    <w:multiLevelType w:val="hybridMultilevel"/>
    <w:tmpl w:val="826CE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54083"/>
    <w:multiLevelType w:val="hybridMultilevel"/>
    <w:tmpl w:val="453C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69FC"/>
    <w:multiLevelType w:val="hybridMultilevel"/>
    <w:tmpl w:val="71067740"/>
    <w:lvl w:ilvl="0" w:tplc="6A4203CE">
      <w:start w:val="1"/>
      <w:numFmt w:val="bullet"/>
      <w:lvlText w:val="•"/>
      <w:lvlJc w:val="left"/>
      <w:pPr>
        <w:tabs>
          <w:tab w:val="num" w:pos="720"/>
        </w:tabs>
        <w:ind w:left="720" w:hanging="360"/>
      </w:pPr>
      <w:rPr>
        <w:rFonts w:ascii="Arial" w:hAnsi="Arial" w:hint="default"/>
      </w:rPr>
    </w:lvl>
    <w:lvl w:ilvl="1" w:tplc="5A70E2CC" w:tentative="1">
      <w:start w:val="1"/>
      <w:numFmt w:val="bullet"/>
      <w:lvlText w:val="•"/>
      <w:lvlJc w:val="left"/>
      <w:pPr>
        <w:tabs>
          <w:tab w:val="num" w:pos="1440"/>
        </w:tabs>
        <w:ind w:left="1440" w:hanging="360"/>
      </w:pPr>
      <w:rPr>
        <w:rFonts w:ascii="Arial" w:hAnsi="Arial" w:hint="default"/>
      </w:rPr>
    </w:lvl>
    <w:lvl w:ilvl="2" w:tplc="5E02DE48" w:tentative="1">
      <w:start w:val="1"/>
      <w:numFmt w:val="bullet"/>
      <w:lvlText w:val="•"/>
      <w:lvlJc w:val="left"/>
      <w:pPr>
        <w:tabs>
          <w:tab w:val="num" w:pos="2160"/>
        </w:tabs>
        <w:ind w:left="2160" w:hanging="360"/>
      </w:pPr>
      <w:rPr>
        <w:rFonts w:ascii="Arial" w:hAnsi="Arial" w:hint="default"/>
      </w:rPr>
    </w:lvl>
    <w:lvl w:ilvl="3" w:tplc="EC62038A" w:tentative="1">
      <w:start w:val="1"/>
      <w:numFmt w:val="bullet"/>
      <w:lvlText w:val="•"/>
      <w:lvlJc w:val="left"/>
      <w:pPr>
        <w:tabs>
          <w:tab w:val="num" w:pos="2880"/>
        </w:tabs>
        <w:ind w:left="2880" w:hanging="360"/>
      </w:pPr>
      <w:rPr>
        <w:rFonts w:ascii="Arial" w:hAnsi="Arial" w:hint="default"/>
      </w:rPr>
    </w:lvl>
    <w:lvl w:ilvl="4" w:tplc="483821B8" w:tentative="1">
      <w:start w:val="1"/>
      <w:numFmt w:val="bullet"/>
      <w:lvlText w:val="•"/>
      <w:lvlJc w:val="left"/>
      <w:pPr>
        <w:tabs>
          <w:tab w:val="num" w:pos="3600"/>
        </w:tabs>
        <w:ind w:left="3600" w:hanging="360"/>
      </w:pPr>
      <w:rPr>
        <w:rFonts w:ascii="Arial" w:hAnsi="Arial" w:hint="default"/>
      </w:rPr>
    </w:lvl>
    <w:lvl w:ilvl="5" w:tplc="1390DD0A" w:tentative="1">
      <w:start w:val="1"/>
      <w:numFmt w:val="bullet"/>
      <w:lvlText w:val="•"/>
      <w:lvlJc w:val="left"/>
      <w:pPr>
        <w:tabs>
          <w:tab w:val="num" w:pos="4320"/>
        </w:tabs>
        <w:ind w:left="4320" w:hanging="360"/>
      </w:pPr>
      <w:rPr>
        <w:rFonts w:ascii="Arial" w:hAnsi="Arial" w:hint="default"/>
      </w:rPr>
    </w:lvl>
    <w:lvl w:ilvl="6" w:tplc="84727128" w:tentative="1">
      <w:start w:val="1"/>
      <w:numFmt w:val="bullet"/>
      <w:lvlText w:val="•"/>
      <w:lvlJc w:val="left"/>
      <w:pPr>
        <w:tabs>
          <w:tab w:val="num" w:pos="5040"/>
        </w:tabs>
        <w:ind w:left="5040" w:hanging="360"/>
      </w:pPr>
      <w:rPr>
        <w:rFonts w:ascii="Arial" w:hAnsi="Arial" w:hint="default"/>
      </w:rPr>
    </w:lvl>
    <w:lvl w:ilvl="7" w:tplc="783E5E72" w:tentative="1">
      <w:start w:val="1"/>
      <w:numFmt w:val="bullet"/>
      <w:lvlText w:val="•"/>
      <w:lvlJc w:val="left"/>
      <w:pPr>
        <w:tabs>
          <w:tab w:val="num" w:pos="5760"/>
        </w:tabs>
        <w:ind w:left="5760" w:hanging="360"/>
      </w:pPr>
      <w:rPr>
        <w:rFonts w:ascii="Arial" w:hAnsi="Arial" w:hint="default"/>
      </w:rPr>
    </w:lvl>
    <w:lvl w:ilvl="8" w:tplc="94CCCD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997B13"/>
    <w:multiLevelType w:val="hybridMultilevel"/>
    <w:tmpl w:val="8754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970B3"/>
    <w:multiLevelType w:val="hybridMultilevel"/>
    <w:tmpl w:val="C5A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44350"/>
    <w:multiLevelType w:val="hybridMultilevel"/>
    <w:tmpl w:val="080C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C06F3"/>
    <w:multiLevelType w:val="hybridMultilevel"/>
    <w:tmpl w:val="4E269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E6B7C"/>
    <w:multiLevelType w:val="hybridMultilevel"/>
    <w:tmpl w:val="64EAB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DB1C76"/>
    <w:multiLevelType w:val="hybridMultilevel"/>
    <w:tmpl w:val="1480D71E"/>
    <w:lvl w:ilvl="0" w:tplc="43E64260">
      <w:start w:val="1"/>
      <w:numFmt w:val="bullet"/>
      <w:lvlText w:val="•"/>
      <w:lvlJc w:val="left"/>
      <w:pPr>
        <w:tabs>
          <w:tab w:val="num" w:pos="720"/>
        </w:tabs>
        <w:ind w:left="720" w:hanging="360"/>
      </w:pPr>
      <w:rPr>
        <w:rFonts w:ascii="Arial" w:hAnsi="Arial" w:hint="default"/>
      </w:rPr>
    </w:lvl>
    <w:lvl w:ilvl="1" w:tplc="BFCA3DBE" w:tentative="1">
      <w:start w:val="1"/>
      <w:numFmt w:val="bullet"/>
      <w:lvlText w:val="•"/>
      <w:lvlJc w:val="left"/>
      <w:pPr>
        <w:tabs>
          <w:tab w:val="num" w:pos="1440"/>
        </w:tabs>
        <w:ind w:left="1440" w:hanging="360"/>
      </w:pPr>
      <w:rPr>
        <w:rFonts w:ascii="Arial" w:hAnsi="Arial" w:hint="default"/>
      </w:rPr>
    </w:lvl>
    <w:lvl w:ilvl="2" w:tplc="14685872" w:tentative="1">
      <w:start w:val="1"/>
      <w:numFmt w:val="bullet"/>
      <w:lvlText w:val="•"/>
      <w:lvlJc w:val="left"/>
      <w:pPr>
        <w:tabs>
          <w:tab w:val="num" w:pos="2160"/>
        </w:tabs>
        <w:ind w:left="2160" w:hanging="360"/>
      </w:pPr>
      <w:rPr>
        <w:rFonts w:ascii="Arial" w:hAnsi="Arial" w:hint="default"/>
      </w:rPr>
    </w:lvl>
    <w:lvl w:ilvl="3" w:tplc="6FACA20C" w:tentative="1">
      <w:start w:val="1"/>
      <w:numFmt w:val="bullet"/>
      <w:lvlText w:val="•"/>
      <w:lvlJc w:val="left"/>
      <w:pPr>
        <w:tabs>
          <w:tab w:val="num" w:pos="2880"/>
        </w:tabs>
        <w:ind w:left="2880" w:hanging="360"/>
      </w:pPr>
      <w:rPr>
        <w:rFonts w:ascii="Arial" w:hAnsi="Arial" w:hint="default"/>
      </w:rPr>
    </w:lvl>
    <w:lvl w:ilvl="4" w:tplc="53EC1E2C" w:tentative="1">
      <w:start w:val="1"/>
      <w:numFmt w:val="bullet"/>
      <w:lvlText w:val="•"/>
      <w:lvlJc w:val="left"/>
      <w:pPr>
        <w:tabs>
          <w:tab w:val="num" w:pos="3600"/>
        </w:tabs>
        <w:ind w:left="3600" w:hanging="360"/>
      </w:pPr>
      <w:rPr>
        <w:rFonts w:ascii="Arial" w:hAnsi="Arial" w:hint="default"/>
      </w:rPr>
    </w:lvl>
    <w:lvl w:ilvl="5" w:tplc="05503E18" w:tentative="1">
      <w:start w:val="1"/>
      <w:numFmt w:val="bullet"/>
      <w:lvlText w:val="•"/>
      <w:lvlJc w:val="left"/>
      <w:pPr>
        <w:tabs>
          <w:tab w:val="num" w:pos="4320"/>
        </w:tabs>
        <w:ind w:left="4320" w:hanging="360"/>
      </w:pPr>
      <w:rPr>
        <w:rFonts w:ascii="Arial" w:hAnsi="Arial" w:hint="default"/>
      </w:rPr>
    </w:lvl>
    <w:lvl w:ilvl="6" w:tplc="8F3A1710" w:tentative="1">
      <w:start w:val="1"/>
      <w:numFmt w:val="bullet"/>
      <w:lvlText w:val="•"/>
      <w:lvlJc w:val="left"/>
      <w:pPr>
        <w:tabs>
          <w:tab w:val="num" w:pos="5040"/>
        </w:tabs>
        <w:ind w:left="5040" w:hanging="360"/>
      </w:pPr>
      <w:rPr>
        <w:rFonts w:ascii="Arial" w:hAnsi="Arial" w:hint="default"/>
      </w:rPr>
    </w:lvl>
    <w:lvl w:ilvl="7" w:tplc="03BA2FE6" w:tentative="1">
      <w:start w:val="1"/>
      <w:numFmt w:val="bullet"/>
      <w:lvlText w:val="•"/>
      <w:lvlJc w:val="left"/>
      <w:pPr>
        <w:tabs>
          <w:tab w:val="num" w:pos="5760"/>
        </w:tabs>
        <w:ind w:left="5760" w:hanging="360"/>
      </w:pPr>
      <w:rPr>
        <w:rFonts w:ascii="Arial" w:hAnsi="Arial" w:hint="default"/>
      </w:rPr>
    </w:lvl>
    <w:lvl w:ilvl="8" w:tplc="197C12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DA006B"/>
    <w:multiLevelType w:val="hybridMultilevel"/>
    <w:tmpl w:val="4AAE4A6C"/>
    <w:lvl w:ilvl="0" w:tplc="A75AD758">
      <w:start w:val="1"/>
      <w:numFmt w:val="bullet"/>
      <w:lvlText w:val="•"/>
      <w:lvlJc w:val="left"/>
      <w:pPr>
        <w:tabs>
          <w:tab w:val="num" w:pos="720"/>
        </w:tabs>
        <w:ind w:left="720" w:hanging="360"/>
      </w:pPr>
      <w:rPr>
        <w:rFonts w:ascii="Arial" w:hAnsi="Arial" w:hint="default"/>
      </w:rPr>
    </w:lvl>
    <w:lvl w:ilvl="1" w:tplc="E760D782" w:tentative="1">
      <w:start w:val="1"/>
      <w:numFmt w:val="bullet"/>
      <w:lvlText w:val="•"/>
      <w:lvlJc w:val="left"/>
      <w:pPr>
        <w:tabs>
          <w:tab w:val="num" w:pos="1440"/>
        </w:tabs>
        <w:ind w:left="1440" w:hanging="360"/>
      </w:pPr>
      <w:rPr>
        <w:rFonts w:ascii="Arial" w:hAnsi="Arial" w:hint="default"/>
      </w:rPr>
    </w:lvl>
    <w:lvl w:ilvl="2" w:tplc="3B9E6708" w:tentative="1">
      <w:start w:val="1"/>
      <w:numFmt w:val="bullet"/>
      <w:lvlText w:val="•"/>
      <w:lvlJc w:val="left"/>
      <w:pPr>
        <w:tabs>
          <w:tab w:val="num" w:pos="2160"/>
        </w:tabs>
        <w:ind w:left="2160" w:hanging="360"/>
      </w:pPr>
      <w:rPr>
        <w:rFonts w:ascii="Arial" w:hAnsi="Arial" w:hint="default"/>
      </w:rPr>
    </w:lvl>
    <w:lvl w:ilvl="3" w:tplc="3B6ACA6C" w:tentative="1">
      <w:start w:val="1"/>
      <w:numFmt w:val="bullet"/>
      <w:lvlText w:val="•"/>
      <w:lvlJc w:val="left"/>
      <w:pPr>
        <w:tabs>
          <w:tab w:val="num" w:pos="2880"/>
        </w:tabs>
        <w:ind w:left="2880" w:hanging="360"/>
      </w:pPr>
      <w:rPr>
        <w:rFonts w:ascii="Arial" w:hAnsi="Arial" w:hint="default"/>
      </w:rPr>
    </w:lvl>
    <w:lvl w:ilvl="4" w:tplc="110C5542" w:tentative="1">
      <w:start w:val="1"/>
      <w:numFmt w:val="bullet"/>
      <w:lvlText w:val="•"/>
      <w:lvlJc w:val="left"/>
      <w:pPr>
        <w:tabs>
          <w:tab w:val="num" w:pos="3600"/>
        </w:tabs>
        <w:ind w:left="3600" w:hanging="360"/>
      </w:pPr>
      <w:rPr>
        <w:rFonts w:ascii="Arial" w:hAnsi="Arial" w:hint="default"/>
      </w:rPr>
    </w:lvl>
    <w:lvl w:ilvl="5" w:tplc="3DF428C0" w:tentative="1">
      <w:start w:val="1"/>
      <w:numFmt w:val="bullet"/>
      <w:lvlText w:val="•"/>
      <w:lvlJc w:val="left"/>
      <w:pPr>
        <w:tabs>
          <w:tab w:val="num" w:pos="4320"/>
        </w:tabs>
        <w:ind w:left="4320" w:hanging="360"/>
      </w:pPr>
      <w:rPr>
        <w:rFonts w:ascii="Arial" w:hAnsi="Arial" w:hint="default"/>
      </w:rPr>
    </w:lvl>
    <w:lvl w:ilvl="6" w:tplc="A5425998" w:tentative="1">
      <w:start w:val="1"/>
      <w:numFmt w:val="bullet"/>
      <w:lvlText w:val="•"/>
      <w:lvlJc w:val="left"/>
      <w:pPr>
        <w:tabs>
          <w:tab w:val="num" w:pos="5040"/>
        </w:tabs>
        <w:ind w:left="5040" w:hanging="360"/>
      </w:pPr>
      <w:rPr>
        <w:rFonts w:ascii="Arial" w:hAnsi="Arial" w:hint="default"/>
      </w:rPr>
    </w:lvl>
    <w:lvl w:ilvl="7" w:tplc="94B8F5C0" w:tentative="1">
      <w:start w:val="1"/>
      <w:numFmt w:val="bullet"/>
      <w:lvlText w:val="•"/>
      <w:lvlJc w:val="left"/>
      <w:pPr>
        <w:tabs>
          <w:tab w:val="num" w:pos="5760"/>
        </w:tabs>
        <w:ind w:left="5760" w:hanging="360"/>
      </w:pPr>
      <w:rPr>
        <w:rFonts w:ascii="Arial" w:hAnsi="Arial" w:hint="default"/>
      </w:rPr>
    </w:lvl>
    <w:lvl w:ilvl="8" w:tplc="54C44B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4B0840"/>
    <w:multiLevelType w:val="hybridMultilevel"/>
    <w:tmpl w:val="5D98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61D8B"/>
    <w:multiLevelType w:val="hybridMultilevel"/>
    <w:tmpl w:val="43FA54C6"/>
    <w:lvl w:ilvl="0" w:tplc="A6103E10">
      <w:start w:val="1"/>
      <w:numFmt w:val="bullet"/>
      <w:lvlText w:val="•"/>
      <w:lvlJc w:val="left"/>
      <w:pPr>
        <w:tabs>
          <w:tab w:val="num" w:pos="-172"/>
        </w:tabs>
        <w:ind w:left="-172" w:hanging="360"/>
      </w:pPr>
      <w:rPr>
        <w:rFonts w:ascii="Arial" w:hAnsi="Arial" w:hint="default"/>
      </w:rPr>
    </w:lvl>
    <w:lvl w:ilvl="1" w:tplc="3BCA0434">
      <w:start w:val="1"/>
      <w:numFmt w:val="bullet"/>
      <w:lvlText w:val="•"/>
      <w:lvlJc w:val="left"/>
      <w:pPr>
        <w:tabs>
          <w:tab w:val="num" w:pos="548"/>
        </w:tabs>
        <w:ind w:left="548" w:hanging="360"/>
      </w:pPr>
      <w:rPr>
        <w:rFonts w:ascii="Arial" w:hAnsi="Arial" w:hint="default"/>
      </w:rPr>
    </w:lvl>
    <w:lvl w:ilvl="2" w:tplc="817AB038">
      <w:start w:val="1"/>
      <w:numFmt w:val="bullet"/>
      <w:lvlText w:val="•"/>
      <w:lvlJc w:val="left"/>
      <w:pPr>
        <w:tabs>
          <w:tab w:val="num" w:pos="1268"/>
        </w:tabs>
        <w:ind w:left="1268" w:hanging="360"/>
      </w:pPr>
      <w:rPr>
        <w:rFonts w:ascii="Arial" w:hAnsi="Arial" w:hint="default"/>
      </w:rPr>
    </w:lvl>
    <w:lvl w:ilvl="3" w:tplc="D2885E64" w:tentative="1">
      <w:start w:val="1"/>
      <w:numFmt w:val="bullet"/>
      <w:lvlText w:val="•"/>
      <w:lvlJc w:val="left"/>
      <w:pPr>
        <w:tabs>
          <w:tab w:val="num" w:pos="1988"/>
        </w:tabs>
        <w:ind w:left="1988" w:hanging="360"/>
      </w:pPr>
      <w:rPr>
        <w:rFonts w:ascii="Arial" w:hAnsi="Arial" w:hint="default"/>
      </w:rPr>
    </w:lvl>
    <w:lvl w:ilvl="4" w:tplc="9564CCBC" w:tentative="1">
      <w:start w:val="1"/>
      <w:numFmt w:val="bullet"/>
      <w:lvlText w:val="•"/>
      <w:lvlJc w:val="left"/>
      <w:pPr>
        <w:tabs>
          <w:tab w:val="num" w:pos="2708"/>
        </w:tabs>
        <w:ind w:left="2708" w:hanging="360"/>
      </w:pPr>
      <w:rPr>
        <w:rFonts w:ascii="Arial" w:hAnsi="Arial" w:hint="default"/>
      </w:rPr>
    </w:lvl>
    <w:lvl w:ilvl="5" w:tplc="ED0EEC12" w:tentative="1">
      <w:start w:val="1"/>
      <w:numFmt w:val="bullet"/>
      <w:lvlText w:val="•"/>
      <w:lvlJc w:val="left"/>
      <w:pPr>
        <w:tabs>
          <w:tab w:val="num" w:pos="3428"/>
        </w:tabs>
        <w:ind w:left="3428" w:hanging="360"/>
      </w:pPr>
      <w:rPr>
        <w:rFonts w:ascii="Arial" w:hAnsi="Arial" w:hint="default"/>
      </w:rPr>
    </w:lvl>
    <w:lvl w:ilvl="6" w:tplc="36468610" w:tentative="1">
      <w:start w:val="1"/>
      <w:numFmt w:val="bullet"/>
      <w:lvlText w:val="•"/>
      <w:lvlJc w:val="left"/>
      <w:pPr>
        <w:tabs>
          <w:tab w:val="num" w:pos="4148"/>
        </w:tabs>
        <w:ind w:left="4148" w:hanging="360"/>
      </w:pPr>
      <w:rPr>
        <w:rFonts w:ascii="Arial" w:hAnsi="Arial" w:hint="default"/>
      </w:rPr>
    </w:lvl>
    <w:lvl w:ilvl="7" w:tplc="A25668CE" w:tentative="1">
      <w:start w:val="1"/>
      <w:numFmt w:val="bullet"/>
      <w:lvlText w:val="•"/>
      <w:lvlJc w:val="left"/>
      <w:pPr>
        <w:tabs>
          <w:tab w:val="num" w:pos="4868"/>
        </w:tabs>
        <w:ind w:left="4868" w:hanging="360"/>
      </w:pPr>
      <w:rPr>
        <w:rFonts w:ascii="Arial" w:hAnsi="Arial" w:hint="default"/>
      </w:rPr>
    </w:lvl>
    <w:lvl w:ilvl="8" w:tplc="3F2CC920" w:tentative="1">
      <w:start w:val="1"/>
      <w:numFmt w:val="bullet"/>
      <w:lvlText w:val="•"/>
      <w:lvlJc w:val="left"/>
      <w:pPr>
        <w:tabs>
          <w:tab w:val="num" w:pos="5588"/>
        </w:tabs>
        <w:ind w:left="5588" w:hanging="360"/>
      </w:pPr>
      <w:rPr>
        <w:rFonts w:ascii="Arial" w:hAnsi="Arial" w:hint="default"/>
      </w:rPr>
    </w:lvl>
  </w:abstractNum>
  <w:abstractNum w:abstractNumId="13" w15:restartNumberingAfterBreak="0">
    <w:nsid w:val="476D5556"/>
    <w:multiLevelType w:val="hybridMultilevel"/>
    <w:tmpl w:val="96B40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A50DB"/>
    <w:multiLevelType w:val="hybridMultilevel"/>
    <w:tmpl w:val="CEC0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B2CD2"/>
    <w:multiLevelType w:val="hybridMultilevel"/>
    <w:tmpl w:val="668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5226A"/>
    <w:multiLevelType w:val="hybridMultilevel"/>
    <w:tmpl w:val="2CAC0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16B34"/>
    <w:multiLevelType w:val="hybridMultilevel"/>
    <w:tmpl w:val="B4DE5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C54B7"/>
    <w:multiLevelType w:val="hybridMultilevel"/>
    <w:tmpl w:val="6464D894"/>
    <w:lvl w:ilvl="0" w:tplc="31446B80">
      <w:start w:val="1"/>
      <w:numFmt w:val="bullet"/>
      <w:lvlText w:val="•"/>
      <w:lvlJc w:val="left"/>
      <w:pPr>
        <w:tabs>
          <w:tab w:val="num" w:pos="-1956"/>
        </w:tabs>
        <w:ind w:left="-1956" w:hanging="360"/>
      </w:pPr>
      <w:rPr>
        <w:rFonts w:ascii="Arial" w:hAnsi="Arial" w:hint="default"/>
      </w:rPr>
    </w:lvl>
    <w:lvl w:ilvl="1" w:tplc="6A604A8A" w:tentative="1">
      <w:start w:val="1"/>
      <w:numFmt w:val="bullet"/>
      <w:lvlText w:val="•"/>
      <w:lvlJc w:val="left"/>
      <w:pPr>
        <w:tabs>
          <w:tab w:val="num" w:pos="-1236"/>
        </w:tabs>
        <w:ind w:left="-1236" w:hanging="360"/>
      </w:pPr>
      <w:rPr>
        <w:rFonts w:ascii="Arial" w:hAnsi="Arial" w:hint="default"/>
      </w:rPr>
    </w:lvl>
    <w:lvl w:ilvl="2" w:tplc="F0AA3052" w:tentative="1">
      <w:start w:val="1"/>
      <w:numFmt w:val="bullet"/>
      <w:lvlText w:val="•"/>
      <w:lvlJc w:val="left"/>
      <w:pPr>
        <w:tabs>
          <w:tab w:val="num" w:pos="-516"/>
        </w:tabs>
        <w:ind w:left="-516" w:hanging="360"/>
      </w:pPr>
      <w:rPr>
        <w:rFonts w:ascii="Arial" w:hAnsi="Arial" w:hint="default"/>
      </w:rPr>
    </w:lvl>
    <w:lvl w:ilvl="3" w:tplc="2D0EB868" w:tentative="1">
      <w:start w:val="1"/>
      <w:numFmt w:val="bullet"/>
      <w:lvlText w:val="•"/>
      <w:lvlJc w:val="left"/>
      <w:pPr>
        <w:tabs>
          <w:tab w:val="num" w:pos="204"/>
        </w:tabs>
        <w:ind w:left="204" w:hanging="360"/>
      </w:pPr>
      <w:rPr>
        <w:rFonts w:ascii="Arial" w:hAnsi="Arial" w:hint="default"/>
      </w:rPr>
    </w:lvl>
    <w:lvl w:ilvl="4" w:tplc="EB465C9A" w:tentative="1">
      <w:start w:val="1"/>
      <w:numFmt w:val="bullet"/>
      <w:lvlText w:val="•"/>
      <w:lvlJc w:val="left"/>
      <w:pPr>
        <w:tabs>
          <w:tab w:val="num" w:pos="924"/>
        </w:tabs>
        <w:ind w:left="924" w:hanging="360"/>
      </w:pPr>
      <w:rPr>
        <w:rFonts w:ascii="Arial" w:hAnsi="Arial" w:hint="default"/>
      </w:rPr>
    </w:lvl>
    <w:lvl w:ilvl="5" w:tplc="06B484C2" w:tentative="1">
      <w:start w:val="1"/>
      <w:numFmt w:val="bullet"/>
      <w:lvlText w:val="•"/>
      <w:lvlJc w:val="left"/>
      <w:pPr>
        <w:tabs>
          <w:tab w:val="num" w:pos="1644"/>
        </w:tabs>
        <w:ind w:left="1644" w:hanging="360"/>
      </w:pPr>
      <w:rPr>
        <w:rFonts w:ascii="Arial" w:hAnsi="Arial" w:hint="default"/>
      </w:rPr>
    </w:lvl>
    <w:lvl w:ilvl="6" w:tplc="67127496" w:tentative="1">
      <w:start w:val="1"/>
      <w:numFmt w:val="bullet"/>
      <w:lvlText w:val="•"/>
      <w:lvlJc w:val="left"/>
      <w:pPr>
        <w:tabs>
          <w:tab w:val="num" w:pos="2364"/>
        </w:tabs>
        <w:ind w:left="2364" w:hanging="360"/>
      </w:pPr>
      <w:rPr>
        <w:rFonts w:ascii="Arial" w:hAnsi="Arial" w:hint="default"/>
      </w:rPr>
    </w:lvl>
    <w:lvl w:ilvl="7" w:tplc="1C2E886A" w:tentative="1">
      <w:start w:val="1"/>
      <w:numFmt w:val="bullet"/>
      <w:lvlText w:val="•"/>
      <w:lvlJc w:val="left"/>
      <w:pPr>
        <w:tabs>
          <w:tab w:val="num" w:pos="3084"/>
        </w:tabs>
        <w:ind w:left="3084" w:hanging="360"/>
      </w:pPr>
      <w:rPr>
        <w:rFonts w:ascii="Arial" w:hAnsi="Arial" w:hint="default"/>
      </w:rPr>
    </w:lvl>
    <w:lvl w:ilvl="8" w:tplc="E78EC7C2" w:tentative="1">
      <w:start w:val="1"/>
      <w:numFmt w:val="bullet"/>
      <w:lvlText w:val="•"/>
      <w:lvlJc w:val="left"/>
      <w:pPr>
        <w:tabs>
          <w:tab w:val="num" w:pos="3804"/>
        </w:tabs>
        <w:ind w:left="3804" w:hanging="360"/>
      </w:pPr>
      <w:rPr>
        <w:rFonts w:ascii="Arial" w:hAnsi="Arial" w:hint="default"/>
      </w:rPr>
    </w:lvl>
  </w:abstractNum>
  <w:abstractNum w:abstractNumId="19" w15:restartNumberingAfterBreak="0">
    <w:nsid w:val="5345545F"/>
    <w:multiLevelType w:val="hybridMultilevel"/>
    <w:tmpl w:val="28C0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A1A8E"/>
    <w:multiLevelType w:val="hybridMultilevel"/>
    <w:tmpl w:val="DF70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201BD"/>
    <w:multiLevelType w:val="hybridMultilevel"/>
    <w:tmpl w:val="B65A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82CD9"/>
    <w:multiLevelType w:val="hybridMultilevel"/>
    <w:tmpl w:val="38347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D2AF3"/>
    <w:multiLevelType w:val="hybridMultilevel"/>
    <w:tmpl w:val="779E4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4435A"/>
    <w:multiLevelType w:val="hybridMultilevel"/>
    <w:tmpl w:val="3D56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8155D"/>
    <w:multiLevelType w:val="hybridMultilevel"/>
    <w:tmpl w:val="84DA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A4BFC"/>
    <w:multiLevelType w:val="hybridMultilevel"/>
    <w:tmpl w:val="CA90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22BD2"/>
    <w:multiLevelType w:val="hybridMultilevel"/>
    <w:tmpl w:val="BA7C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8"/>
  </w:num>
  <w:num w:numId="4">
    <w:abstractNumId w:val="9"/>
  </w:num>
  <w:num w:numId="5">
    <w:abstractNumId w:val="10"/>
  </w:num>
  <w:num w:numId="6">
    <w:abstractNumId w:val="3"/>
  </w:num>
  <w:num w:numId="7">
    <w:abstractNumId w:val="8"/>
  </w:num>
  <w:num w:numId="8">
    <w:abstractNumId w:val="16"/>
  </w:num>
  <w:num w:numId="9">
    <w:abstractNumId w:val="6"/>
  </w:num>
  <w:num w:numId="10">
    <w:abstractNumId w:val="13"/>
  </w:num>
  <w:num w:numId="11">
    <w:abstractNumId w:val="4"/>
  </w:num>
  <w:num w:numId="12">
    <w:abstractNumId w:val="24"/>
  </w:num>
  <w:num w:numId="13">
    <w:abstractNumId w:val="0"/>
  </w:num>
  <w:num w:numId="14">
    <w:abstractNumId w:val="11"/>
  </w:num>
  <w:num w:numId="15">
    <w:abstractNumId w:val="7"/>
  </w:num>
  <w:num w:numId="16">
    <w:abstractNumId w:val="17"/>
  </w:num>
  <w:num w:numId="17">
    <w:abstractNumId w:val="22"/>
  </w:num>
  <w:num w:numId="18">
    <w:abstractNumId w:val="5"/>
  </w:num>
  <w:num w:numId="19">
    <w:abstractNumId w:val="15"/>
  </w:num>
  <w:num w:numId="20">
    <w:abstractNumId w:val="19"/>
  </w:num>
  <w:num w:numId="21">
    <w:abstractNumId w:val="14"/>
  </w:num>
  <w:num w:numId="22">
    <w:abstractNumId w:val="27"/>
  </w:num>
  <w:num w:numId="23">
    <w:abstractNumId w:val="23"/>
  </w:num>
  <w:num w:numId="24">
    <w:abstractNumId w:val="26"/>
  </w:num>
  <w:num w:numId="25">
    <w:abstractNumId w:val="21"/>
  </w:num>
  <w:num w:numId="26">
    <w:abstractNumId w:val="20"/>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32"/>
    <w:rsid w:val="0002194B"/>
    <w:rsid w:val="0004517E"/>
    <w:rsid w:val="00094DDC"/>
    <w:rsid w:val="000B0EB9"/>
    <w:rsid w:val="000B7DB7"/>
    <w:rsid w:val="000C3D11"/>
    <w:rsid w:val="00100BC3"/>
    <w:rsid w:val="00105DB6"/>
    <w:rsid w:val="00125C21"/>
    <w:rsid w:val="00174EF7"/>
    <w:rsid w:val="00175AF6"/>
    <w:rsid w:val="001B40EE"/>
    <w:rsid w:val="001C38A9"/>
    <w:rsid w:val="001D2499"/>
    <w:rsid w:val="00246187"/>
    <w:rsid w:val="00274321"/>
    <w:rsid w:val="00274C83"/>
    <w:rsid w:val="00282006"/>
    <w:rsid w:val="0028352B"/>
    <w:rsid w:val="0029480C"/>
    <w:rsid w:val="002A77F2"/>
    <w:rsid w:val="002C7AFF"/>
    <w:rsid w:val="002E7316"/>
    <w:rsid w:val="002E7D81"/>
    <w:rsid w:val="0030232D"/>
    <w:rsid w:val="00317F2E"/>
    <w:rsid w:val="00324DD2"/>
    <w:rsid w:val="00397143"/>
    <w:rsid w:val="003B7159"/>
    <w:rsid w:val="003F2A6B"/>
    <w:rsid w:val="00436988"/>
    <w:rsid w:val="004504AD"/>
    <w:rsid w:val="00477773"/>
    <w:rsid w:val="00496E29"/>
    <w:rsid w:val="004A4D75"/>
    <w:rsid w:val="00502747"/>
    <w:rsid w:val="00512AC6"/>
    <w:rsid w:val="00532E5E"/>
    <w:rsid w:val="00590AD3"/>
    <w:rsid w:val="005D4913"/>
    <w:rsid w:val="005D5012"/>
    <w:rsid w:val="005D6290"/>
    <w:rsid w:val="005D6C35"/>
    <w:rsid w:val="005F152E"/>
    <w:rsid w:val="005F510B"/>
    <w:rsid w:val="005F5AA6"/>
    <w:rsid w:val="00612CA9"/>
    <w:rsid w:val="006258AC"/>
    <w:rsid w:val="0062669A"/>
    <w:rsid w:val="00653556"/>
    <w:rsid w:val="00655190"/>
    <w:rsid w:val="00655E4C"/>
    <w:rsid w:val="00680F6B"/>
    <w:rsid w:val="006955E2"/>
    <w:rsid w:val="00695684"/>
    <w:rsid w:val="006B1799"/>
    <w:rsid w:val="006E4CDA"/>
    <w:rsid w:val="006F1C8B"/>
    <w:rsid w:val="006F7BEF"/>
    <w:rsid w:val="007056A9"/>
    <w:rsid w:val="00713B53"/>
    <w:rsid w:val="00730228"/>
    <w:rsid w:val="0073152C"/>
    <w:rsid w:val="00740547"/>
    <w:rsid w:val="00752E60"/>
    <w:rsid w:val="00760BBB"/>
    <w:rsid w:val="00784563"/>
    <w:rsid w:val="00790C2A"/>
    <w:rsid w:val="007A06D0"/>
    <w:rsid w:val="007D20FF"/>
    <w:rsid w:val="007E7147"/>
    <w:rsid w:val="0080590D"/>
    <w:rsid w:val="00813A71"/>
    <w:rsid w:val="00850A35"/>
    <w:rsid w:val="00856FDD"/>
    <w:rsid w:val="00866AC7"/>
    <w:rsid w:val="00893954"/>
    <w:rsid w:val="008E21EA"/>
    <w:rsid w:val="00913B94"/>
    <w:rsid w:val="0092020B"/>
    <w:rsid w:val="00950BBF"/>
    <w:rsid w:val="009B215B"/>
    <w:rsid w:val="009D10F1"/>
    <w:rsid w:val="00A14D9B"/>
    <w:rsid w:val="00A36FC0"/>
    <w:rsid w:val="00A37BDD"/>
    <w:rsid w:val="00A53E41"/>
    <w:rsid w:val="00A818CB"/>
    <w:rsid w:val="00A97AE3"/>
    <w:rsid w:val="00AD1C79"/>
    <w:rsid w:val="00AE05A0"/>
    <w:rsid w:val="00AE1DCE"/>
    <w:rsid w:val="00B1135A"/>
    <w:rsid w:val="00B2171B"/>
    <w:rsid w:val="00B463A5"/>
    <w:rsid w:val="00B7641F"/>
    <w:rsid w:val="00B85AFD"/>
    <w:rsid w:val="00B90E2B"/>
    <w:rsid w:val="00BC0A07"/>
    <w:rsid w:val="00BF7379"/>
    <w:rsid w:val="00C05A1C"/>
    <w:rsid w:val="00C10F59"/>
    <w:rsid w:val="00C16489"/>
    <w:rsid w:val="00C41BA4"/>
    <w:rsid w:val="00C60E0D"/>
    <w:rsid w:val="00C664CF"/>
    <w:rsid w:val="00C71D05"/>
    <w:rsid w:val="00C952D8"/>
    <w:rsid w:val="00CD7F1B"/>
    <w:rsid w:val="00CE4D41"/>
    <w:rsid w:val="00CF7D45"/>
    <w:rsid w:val="00D0559A"/>
    <w:rsid w:val="00D34C6F"/>
    <w:rsid w:val="00D6417A"/>
    <w:rsid w:val="00D73FA7"/>
    <w:rsid w:val="00D76C59"/>
    <w:rsid w:val="00D97066"/>
    <w:rsid w:val="00DA3CC1"/>
    <w:rsid w:val="00DD65BB"/>
    <w:rsid w:val="00DE6604"/>
    <w:rsid w:val="00E22C1D"/>
    <w:rsid w:val="00E376D2"/>
    <w:rsid w:val="00E37D08"/>
    <w:rsid w:val="00E42F95"/>
    <w:rsid w:val="00E44232"/>
    <w:rsid w:val="00E50DB3"/>
    <w:rsid w:val="00E57697"/>
    <w:rsid w:val="00E870F6"/>
    <w:rsid w:val="00E945A8"/>
    <w:rsid w:val="00EB6F0B"/>
    <w:rsid w:val="00ED735D"/>
    <w:rsid w:val="00EE0375"/>
    <w:rsid w:val="00F140D7"/>
    <w:rsid w:val="00F326F9"/>
    <w:rsid w:val="00F60355"/>
    <w:rsid w:val="00F61B13"/>
    <w:rsid w:val="00F61CC2"/>
    <w:rsid w:val="00F628F7"/>
    <w:rsid w:val="00FE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A7552"/>
  <w15:chartTrackingRefBased/>
  <w15:docId w15:val="{5564E2D7-9790-4775-A2B2-C6CFEC0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32"/>
    <w:pPr>
      <w:spacing w:after="200" w:line="276" w:lineRule="auto"/>
    </w:pPr>
    <w:rPr>
      <w:rFonts w:ascii="Calibri" w:eastAsia="Times New Roman" w:hAnsi="Calibri" w:cs="Times New Roman"/>
      <w:lang w:val="en-CA" w:eastAsia="en-CA"/>
    </w:rPr>
  </w:style>
  <w:style w:type="paragraph" w:styleId="Heading1">
    <w:name w:val="heading 1"/>
    <w:basedOn w:val="Normal"/>
    <w:next w:val="Normal"/>
    <w:link w:val="Heading1Char"/>
    <w:uiPriority w:val="9"/>
    <w:qFormat/>
    <w:rsid w:val="00302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3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232"/>
    <w:pPr>
      <w:spacing w:after="0" w:line="240" w:lineRule="auto"/>
    </w:pPr>
    <w:rPr>
      <w:rFonts w:eastAsiaTheme="minorEastAsia"/>
      <w:sz w:val="24"/>
      <w:szCs w:val="24"/>
    </w:rPr>
  </w:style>
  <w:style w:type="character" w:styleId="Hyperlink">
    <w:name w:val="Hyperlink"/>
    <w:basedOn w:val="DefaultParagraphFont"/>
    <w:uiPriority w:val="99"/>
    <w:unhideWhenUsed/>
    <w:rsid w:val="00E44232"/>
    <w:rPr>
      <w:color w:val="0000FF"/>
      <w:u w:val="single"/>
    </w:rPr>
  </w:style>
  <w:style w:type="character" w:styleId="FollowedHyperlink">
    <w:name w:val="FollowedHyperlink"/>
    <w:basedOn w:val="DefaultParagraphFont"/>
    <w:uiPriority w:val="99"/>
    <w:semiHidden/>
    <w:unhideWhenUsed/>
    <w:rsid w:val="007056A9"/>
    <w:rPr>
      <w:color w:val="954F72" w:themeColor="followedHyperlink"/>
      <w:u w:val="single"/>
    </w:rPr>
  </w:style>
  <w:style w:type="paragraph" w:styleId="ListParagraph">
    <w:name w:val="List Paragraph"/>
    <w:basedOn w:val="Normal"/>
    <w:uiPriority w:val="34"/>
    <w:qFormat/>
    <w:rsid w:val="002A77F2"/>
    <w:pPr>
      <w:ind w:left="720"/>
      <w:contextualSpacing/>
    </w:pPr>
  </w:style>
  <w:style w:type="paragraph" w:styleId="Header">
    <w:name w:val="header"/>
    <w:basedOn w:val="Normal"/>
    <w:link w:val="HeaderChar"/>
    <w:uiPriority w:val="99"/>
    <w:unhideWhenUsed/>
    <w:rsid w:val="00B46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3A5"/>
    <w:rPr>
      <w:rFonts w:ascii="Calibri" w:eastAsia="Times New Roman" w:hAnsi="Calibri" w:cs="Times New Roman"/>
      <w:lang w:val="en-CA" w:eastAsia="en-CA"/>
    </w:rPr>
  </w:style>
  <w:style w:type="paragraph" w:styleId="Footer">
    <w:name w:val="footer"/>
    <w:basedOn w:val="Normal"/>
    <w:link w:val="FooterChar"/>
    <w:uiPriority w:val="99"/>
    <w:unhideWhenUsed/>
    <w:rsid w:val="00B46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3A5"/>
    <w:rPr>
      <w:rFonts w:ascii="Calibri" w:eastAsia="Times New Roman" w:hAnsi="Calibri" w:cs="Times New Roman"/>
      <w:lang w:val="en-CA" w:eastAsia="en-CA"/>
    </w:rPr>
  </w:style>
  <w:style w:type="table" w:styleId="TableGrid">
    <w:name w:val="Table Grid"/>
    <w:basedOn w:val="TableNormal"/>
    <w:uiPriority w:val="39"/>
    <w:rsid w:val="00C0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5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190"/>
    <w:rPr>
      <w:rFonts w:ascii="Calibri" w:eastAsia="Times New Roman" w:hAnsi="Calibri" w:cs="Times New Roman"/>
      <w:sz w:val="20"/>
      <w:szCs w:val="20"/>
      <w:lang w:val="en-CA" w:eastAsia="en-CA"/>
    </w:rPr>
  </w:style>
  <w:style w:type="character" w:styleId="FootnoteReference">
    <w:name w:val="footnote reference"/>
    <w:basedOn w:val="DefaultParagraphFont"/>
    <w:uiPriority w:val="99"/>
    <w:semiHidden/>
    <w:unhideWhenUsed/>
    <w:rsid w:val="00655190"/>
    <w:rPr>
      <w:vertAlign w:val="superscript"/>
    </w:rPr>
  </w:style>
  <w:style w:type="paragraph" w:styleId="BalloonText">
    <w:name w:val="Balloon Text"/>
    <w:basedOn w:val="Normal"/>
    <w:link w:val="BalloonTextChar"/>
    <w:uiPriority w:val="99"/>
    <w:semiHidden/>
    <w:unhideWhenUsed/>
    <w:rsid w:val="005D5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012"/>
    <w:rPr>
      <w:rFonts w:ascii="Segoe UI" w:eastAsia="Times New Roman" w:hAnsi="Segoe UI" w:cs="Segoe UI"/>
      <w:sz w:val="18"/>
      <w:szCs w:val="18"/>
      <w:lang w:val="en-CA" w:eastAsia="en-CA"/>
    </w:rPr>
  </w:style>
  <w:style w:type="paragraph" w:styleId="Title">
    <w:name w:val="Title"/>
    <w:basedOn w:val="Normal"/>
    <w:next w:val="Normal"/>
    <w:link w:val="TitleChar"/>
    <w:uiPriority w:val="10"/>
    <w:qFormat/>
    <w:rsid w:val="003023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2D"/>
    <w:rPr>
      <w:rFonts w:asciiTheme="majorHAnsi" w:eastAsiaTheme="majorEastAsia" w:hAnsiTheme="majorHAnsi" w:cstheme="majorBidi"/>
      <w:spacing w:val="-10"/>
      <w:kern w:val="28"/>
      <w:sz w:val="56"/>
      <w:szCs w:val="56"/>
      <w:lang w:val="en-CA" w:eastAsia="en-CA"/>
    </w:rPr>
  </w:style>
  <w:style w:type="character" w:customStyle="1" w:styleId="Heading1Char">
    <w:name w:val="Heading 1 Char"/>
    <w:basedOn w:val="DefaultParagraphFont"/>
    <w:link w:val="Heading1"/>
    <w:uiPriority w:val="9"/>
    <w:rsid w:val="0030232D"/>
    <w:rPr>
      <w:rFonts w:asciiTheme="majorHAnsi" w:eastAsiaTheme="majorEastAsia" w:hAnsiTheme="majorHAnsi" w:cstheme="majorBidi"/>
      <w:color w:val="2E74B5" w:themeColor="accent1" w:themeShade="BF"/>
      <w:sz w:val="32"/>
      <w:szCs w:val="32"/>
      <w:lang w:val="en-CA" w:eastAsia="en-CA"/>
    </w:rPr>
  </w:style>
  <w:style w:type="character" w:customStyle="1" w:styleId="Heading2Char">
    <w:name w:val="Heading 2 Char"/>
    <w:basedOn w:val="DefaultParagraphFont"/>
    <w:link w:val="Heading2"/>
    <w:uiPriority w:val="9"/>
    <w:rsid w:val="0030232D"/>
    <w:rPr>
      <w:rFonts w:asciiTheme="majorHAnsi" w:eastAsiaTheme="majorEastAsia" w:hAnsiTheme="majorHAnsi" w:cstheme="majorBidi"/>
      <w:color w:val="2E74B5" w:themeColor="accent1" w:themeShade="BF"/>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4650">
      <w:bodyDiv w:val="1"/>
      <w:marLeft w:val="0"/>
      <w:marRight w:val="0"/>
      <w:marTop w:val="0"/>
      <w:marBottom w:val="0"/>
      <w:divBdr>
        <w:top w:val="none" w:sz="0" w:space="0" w:color="auto"/>
        <w:left w:val="none" w:sz="0" w:space="0" w:color="auto"/>
        <w:bottom w:val="none" w:sz="0" w:space="0" w:color="auto"/>
        <w:right w:val="none" w:sz="0" w:space="0" w:color="auto"/>
      </w:divBdr>
      <w:divsChild>
        <w:div w:id="2011641412">
          <w:marLeft w:val="806"/>
          <w:marRight w:val="0"/>
          <w:marTop w:val="0"/>
          <w:marBottom w:val="120"/>
          <w:divBdr>
            <w:top w:val="none" w:sz="0" w:space="0" w:color="auto"/>
            <w:left w:val="none" w:sz="0" w:space="0" w:color="auto"/>
            <w:bottom w:val="none" w:sz="0" w:space="0" w:color="auto"/>
            <w:right w:val="none" w:sz="0" w:space="0" w:color="auto"/>
          </w:divBdr>
        </w:div>
        <w:div w:id="10423978">
          <w:marLeft w:val="806"/>
          <w:marRight w:val="0"/>
          <w:marTop w:val="0"/>
          <w:marBottom w:val="120"/>
          <w:divBdr>
            <w:top w:val="none" w:sz="0" w:space="0" w:color="auto"/>
            <w:left w:val="none" w:sz="0" w:space="0" w:color="auto"/>
            <w:bottom w:val="none" w:sz="0" w:space="0" w:color="auto"/>
            <w:right w:val="none" w:sz="0" w:space="0" w:color="auto"/>
          </w:divBdr>
        </w:div>
        <w:div w:id="1488085739">
          <w:marLeft w:val="806"/>
          <w:marRight w:val="0"/>
          <w:marTop w:val="0"/>
          <w:marBottom w:val="120"/>
          <w:divBdr>
            <w:top w:val="none" w:sz="0" w:space="0" w:color="auto"/>
            <w:left w:val="none" w:sz="0" w:space="0" w:color="auto"/>
            <w:bottom w:val="none" w:sz="0" w:space="0" w:color="auto"/>
            <w:right w:val="none" w:sz="0" w:space="0" w:color="auto"/>
          </w:divBdr>
        </w:div>
      </w:divsChild>
    </w:div>
    <w:div w:id="671294187">
      <w:bodyDiv w:val="1"/>
      <w:marLeft w:val="0"/>
      <w:marRight w:val="0"/>
      <w:marTop w:val="0"/>
      <w:marBottom w:val="0"/>
      <w:divBdr>
        <w:top w:val="none" w:sz="0" w:space="0" w:color="auto"/>
        <w:left w:val="none" w:sz="0" w:space="0" w:color="auto"/>
        <w:bottom w:val="none" w:sz="0" w:space="0" w:color="auto"/>
        <w:right w:val="none" w:sz="0" w:space="0" w:color="auto"/>
      </w:divBdr>
      <w:divsChild>
        <w:div w:id="700859462">
          <w:marLeft w:val="806"/>
          <w:marRight w:val="0"/>
          <w:marTop w:val="0"/>
          <w:marBottom w:val="120"/>
          <w:divBdr>
            <w:top w:val="none" w:sz="0" w:space="0" w:color="auto"/>
            <w:left w:val="none" w:sz="0" w:space="0" w:color="auto"/>
            <w:bottom w:val="none" w:sz="0" w:space="0" w:color="auto"/>
            <w:right w:val="none" w:sz="0" w:space="0" w:color="auto"/>
          </w:divBdr>
        </w:div>
        <w:div w:id="39747224">
          <w:marLeft w:val="806"/>
          <w:marRight w:val="0"/>
          <w:marTop w:val="0"/>
          <w:marBottom w:val="120"/>
          <w:divBdr>
            <w:top w:val="none" w:sz="0" w:space="0" w:color="auto"/>
            <w:left w:val="none" w:sz="0" w:space="0" w:color="auto"/>
            <w:bottom w:val="none" w:sz="0" w:space="0" w:color="auto"/>
            <w:right w:val="none" w:sz="0" w:space="0" w:color="auto"/>
          </w:divBdr>
        </w:div>
        <w:div w:id="2076737516">
          <w:marLeft w:val="806"/>
          <w:marRight w:val="0"/>
          <w:marTop w:val="0"/>
          <w:marBottom w:val="120"/>
          <w:divBdr>
            <w:top w:val="none" w:sz="0" w:space="0" w:color="auto"/>
            <w:left w:val="none" w:sz="0" w:space="0" w:color="auto"/>
            <w:bottom w:val="none" w:sz="0" w:space="0" w:color="auto"/>
            <w:right w:val="none" w:sz="0" w:space="0" w:color="auto"/>
          </w:divBdr>
        </w:div>
        <w:div w:id="756899627">
          <w:marLeft w:val="806"/>
          <w:marRight w:val="0"/>
          <w:marTop w:val="0"/>
          <w:marBottom w:val="120"/>
          <w:divBdr>
            <w:top w:val="none" w:sz="0" w:space="0" w:color="auto"/>
            <w:left w:val="none" w:sz="0" w:space="0" w:color="auto"/>
            <w:bottom w:val="none" w:sz="0" w:space="0" w:color="auto"/>
            <w:right w:val="none" w:sz="0" w:space="0" w:color="auto"/>
          </w:divBdr>
        </w:div>
      </w:divsChild>
    </w:div>
    <w:div w:id="1272592953">
      <w:bodyDiv w:val="1"/>
      <w:marLeft w:val="0"/>
      <w:marRight w:val="0"/>
      <w:marTop w:val="0"/>
      <w:marBottom w:val="0"/>
      <w:divBdr>
        <w:top w:val="none" w:sz="0" w:space="0" w:color="auto"/>
        <w:left w:val="none" w:sz="0" w:space="0" w:color="auto"/>
        <w:bottom w:val="none" w:sz="0" w:space="0" w:color="auto"/>
        <w:right w:val="none" w:sz="0" w:space="0" w:color="auto"/>
      </w:divBdr>
      <w:divsChild>
        <w:div w:id="75903236">
          <w:marLeft w:val="806"/>
          <w:marRight w:val="0"/>
          <w:marTop w:val="0"/>
          <w:marBottom w:val="120"/>
          <w:divBdr>
            <w:top w:val="none" w:sz="0" w:space="0" w:color="auto"/>
            <w:left w:val="none" w:sz="0" w:space="0" w:color="auto"/>
            <w:bottom w:val="none" w:sz="0" w:space="0" w:color="auto"/>
            <w:right w:val="none" w:sz="0" w:space="0" w:color="auto"/>
          </w:divBdr>
        </w:div>
        <w:div w:id="1792935682">
          <w:marLeft w:val="806"/>
          <w:marRight w:val="0"/>
          <w:marTop w:val="120"/>
          <w:marBottom w:val="120"/>
          <w:divBdr>
            <w:top w:val="none" w:sz="0" w:space="0" w:color="auto"/>
            <w:left w:val="none" w:sz="0" w:space="0" w:color="auto"/>
            <w:bottom w:val="none" w:sz="0" w:space="0" w:color="auto"/>
            <w:right w:val="none" w:sz="0" w:space="0" w:color="auto"/>
          </w:divBdr>
        </w:div>
        <w:div w:id="1339387986">
          <w:marLeft w:val="806"/>
          <w:marRight w:val="0"/>
          <w:marTop w:val="120"/>
          <w:marBottom w:val="120"/>
          <w:divBdr>
            <w:top w:val="none" w:sz="0" w:space="0" w:color="auto"/>
            <w:left w:val="none" w:sz="0" w:space="0" w:color="auto"/>
            <w:bottom w:val="none" w:sz="0" w:space="0" w:color="auto"/>
            <w:right w:val="none" w:sz="0" w:space="0" w:color="auto"/>
          </w:divBdr>
        </w:div>
        <w:div w:id="1860198473">
          <w:marLeft w:val="806"/>
          <w:marRight w:val="0"/>
          <w:marTop w:val="120"/>
          <w:marBottom w:val="120"/>
          <w:divBdr>
            <w:top w:val="none" w:sz="0" w:space="0" w:color="auto"/>
            <w:left w:val="none" w:sz="0" w:space="0" w:color="auto"/>
            <w:bottom w:val="none" w:sz="0" w:space="0" w:color="auto"/>
            <w:right w:val="none" w:sz="0" w:space="0" w:color="auto"/>
          </w:divBdr>
        </w:div>
        <w:div w:id="1930890948">
          <w:marLeft w:val="806"/>
          <w:marRight w:val="0"/>
          <w:marTop w:val="120"/>
          <w:marBottom w:val="120"/>
          <w:divBdr>
            <w:top w:val="none" w:sz="0" w:space="0" w:color="auto"/>
            <w:left w:val="none" w:sz="0" w:space="0" w:color="auto"/>
            <w:bottom w:val="none" w:sz="0" w:space="0" w:color="auto"/>
            <w:right w:val="none" w:sz="0" w:space="0" w:color="auto"/>
          </w:divBdr>
        </w:div>
        <w:div w:id="174541564">
          <w:marLeft w:val="806"/>
          <w:marRight w:val="0"/>
          <w:marTop w:val="120"/>
          <w:marBottom w:val="120"/>
          <w:divBdr>
            <w:top w:val="none" w:sz="0" w:space="0" w:color="auto"/>
            <w:left w:val="none" w:sz="0" w:space="0" w:color="auto"/>
            <w:bottom w:val="none" w:sz="0" w:space="0" w:color="auto"/>
            <w:right w:val="none" w:sz="0" w:space="0" w:color="auto"/>
          </w:divBdr>
        </w:div>
      </w:divsChild>
    </w:div>
    <w:div w:id="1894384046">
      <w:bodyDiv w:val="1"/>
      <w:marLeft w:val="0"/>
      <w:marRight w:val="0"/>
      <w:marTop w:val="0"/>
      <w:marBottom w:val="0"/>
      <w:divBdr>
        <w:top w:val="none" w:sz="0" w:space="0" w:color="auto"/>
        <w:left w:val="none" w:sz="0" w:space="0" w:color="auto"/>
        <w:bottom w:val="none" w:sz="0" w:space="0" w:color="auto"/>
        <w:right w:val="none" w:sz="0" w:space="0" w:color="auto"/>
      </w:divBdr>
      <w:divsChild>
        <w:div w:id="1539196745">
          <w:marLeft w:val="806"/>
          <w:marRight w:val="0"/>
          <w:marTop w:val="0"/>
          <w:marBottom w:val="120"/>
          <w:divBdr>
            <w:top w:val="none" w:sz="0" w:space="0" w:color="auto"/>
            <w:left w:val="none" w:sz="0" w:space="0" w:color="auto"/>
            <w:bottom w:val="none" w:sz="0" w:space="0" w:color="auto"/>
            <w:right w:val="none" w:sz="0" w:space="0" w:color="auto"/>
          </w:divBdr>
        </w:div>
        <w:div w:id="1611663459">
          <w:marLeft w:val="720"/>
          <w:marRight w:val="0"/>
          <w:marTop w:val="0"/>
          <w:marBottom w:val="0"/>
          <w:divBdr>
            <w:top w:val="none" w:sz="0" w:space="0" w:color="auto"/>
            <w:left w:val="none" w:sz="0" w:space="0" w:color="auto"/>
            <w:bottom w:val="none" w:sz="0" w:space="0" w:color="auto"/>
            <w:right w:val="none" w:sz="0" w:space="0" w:color="auto"/>
          </w:divBdr>
        </w:div>
        <w:div w:id="1920477083">
          <w:marLeft w:val="720"/>
          <w:marRight w:val="0"/>
          <w:marTop w:val="0"/>
          <w:marBottom w:val="0"/>
          <w:divBdr>
            <w:top w:val="none" w:sz="0" w:space="0" w:color="auto"/>
            <w:left w:val="none" w:sz="0" w:space="0" w:color="auto"/>
            <w:bottom w:val="none" w:sz="0" w:space="0" w:color="auto"/>
            <w:right w:val="none" w:sz="0" w:space="0" w:color="auto"/>
          </w:divBdr>
        </w:div>
      </w:divsChild>
    </w:div>
    <w:div w:id="2041927226">
      <w:bodyDiv w:val="1"/>
      <w:marLeft w:val="0"/>
      <w:marRight w:val="0"/>
      <w:marTop w:val="0"/>
      <w:marBottom w:val="0"/>
      <w:divBdr>
        <w:top w:val="none" w:sz="0" w:space="0" w:color="auto"/>
        <w:left w:val="none" w:sz="0" w:space="0" w:color="auto"/>
        <w:bottom w:val="none" w:sz="0" w:space="0" w:color="auto"/>
        <w:right w:val="none" w:sz="0" w:space="0" w:color="auto"/>
      </w:divBdr>
      <w:divsChild>
        <w:div w:id="799957281">
          <w:marLeft w:val="806"/>
          <w:marRight w:val="0"/>
          <w:marTop w:val="0"/>
          <w:marBottom w:val="120"/>
          <w:divBdr>
            <w:top w:val="none" w:sz="0" w:space="0" w:color="auto"/>
            <w:left w:val="none" w:sz="0" w:space="0" w:color="auto"/>
            <w:bottom w:val="none" w:sz="0" w:space="0" w:color="auto"/>
            <w:right w:val="none" w:sz="0" w:space="0" w:color="auto"/>
          </w:divBdr>
        </w:div>
        <w:div w:id="1588072492">
          <w:marLeft w:val="806"/>
          <w:marRight w:val="0"/>
          <w:marTop w:val="0"/>
          <w:marBottom w:val="120"/>
          <w:divBdr>
            <w:top w:val="none" w:sz="0" w:space="0" w:color="auto"/>
            <w:left w:val="none" w:sz="0" w:space="0" w:color="auto"/>
            <w:bottom w:val="none" w:sz="0" w:space="0" w:color="auto"/>
            <w:right w:val="none" w:sz="0" w:space="0" w:color="auto"/>
          </w:divBdr>
        </w:div>
        <w:div w:id="814375515">
          <w:marLeft w:val="806"/>
          <w:marRight w:val="0"/>
          <w:marTop w:val="0"/>
          <w:marBottom w:val="120"/>
          <w:divBdr>
            <w:top w:val="none" w:sz="0" w:space="0" w:color="auto"/>
            <w:left w:val="none" w:sz="0" w:space="0" w:color="auto"/>
            <w:bottom w:val="none" w:sz="0" w:space="0" w:color="auto"/>
            <w:right w:val="none" w:sz="0" w:space="0" w:color="auto"/>
          </w:divBdr>
        </w:div>
        <w:div w:id="1579555681">
          <w:marLeft w:val="806"/>
          <w:marRight w:val="0"/>
          <w:marTop w:val="0"/>
          <w:marBottom w:val="120"/>
          <w:divBdr>
            <w:top w:val="none" w:sz="0" w:space="0" w:color="auto"/>
            <w:left w:val="none" w:sz="0" w:space="0" w:color="auto"/>
            <w:bottom w:val="none" w:sz="0" w:space="0" w:color="auto"/>
            <w:right w:val="none" w:sz="0" w:space="0" w:color="auto"/>
          </w:divBdr>
        </w:div>
        <w:div w:id="969437979">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financialservices/sites/trentu.ca.financialservices/files/documents/2018-19_Budget.pdf" TargetMode="Externa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a:t>
            </a:r>
            <a:r>
              <a:rPr lang="en-US" sz="1200" baseline="0">
                <a:solidFill>
                  <a:sysClr val="windowText" lastClr="000000"/>
                </a:solidFill>
                <a:latin typeface="Arial" panose="020B0604020202020204" pitchFamily="34" charset="0"/>
                <a:cs typeface="Arial" panose="020B0604020202020204" pitchFamily="34" charset="0"/>
              </a:rPr>
              <a:t> Budgeted </a:t>
            </a:r>
          </a:p>
          <a:p>
            <a:pPr>
              <a:defRPr/>
            </a:pPr>
            <a:r>
              <a:rPr lang="en-US" sz="1200">
                <a:solidFill>
                  <a:sysClr val="windowText" lastClr="000000"/>
                </a:solidFill>
                <a:latin typeface="Arial" panose="020B0604020202020204" pitchFamily="34" charset="0"/>
                <a:cs typeface="Arial" panose="020B0604020202020204" pitchFamily="34" charset="0"/>
              </a:rPr>
              <a:t>Operating Revenues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12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980535598549307"/>
          <c:y val="0.1398372765829955"/>
          <c:w val="0.6648944385454445"/>
          <c:h val="0.81341110601365074"/>
        </c:manualLayout>
      </c:layout>
      <c:pie3DChart>
        <c:varyColors val="1"/>
        <c:ser>
          <c:idx val="0"/>
          <c:order val="0"/>
          <c:tx>
            <c:strRef>
              <c:f>Sheet1!$B$1</c:f>
              <c:strCache>
                <c:ptCount val="1"/>
                <c:pt idx="0">
                  <c:v>Operating Revenues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38B8-4F22-BE9F-229F78D04104}"/>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38B8-4F22-BE9F-229F78D04104}"/>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38B8-4F22-BE9F-229F78D041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Tuition</c:v>
                </c:pt>
                <c:pt idx="1">
                  <c:v>Grants</c:v>
                </c:pt>
                <c:pt idx="2">
                  <c:v>Other</c:v>
                </c:pt>
              </c:strCache>
            </c:strRef>
          </c:cat>
          <c:val>
            <c:numRef>
              <c:f>Sheet1!$B$2:$B$4</c:f>
              <c:numCache>
                <c:formatCode>General</c:formatCode>
                <c:ptCount val="3"/>
                <c:pt idx="0">
                  <c:v>72867</c:v>
                </c:pt>
                <c:pt idx="1">
                  <c:v>60692</c:v>
                </c:pt>
                <c:pt idx="2">
                  <c:v>1591</c:v>
                </c:pt>
              </c:numCache>
            </c:numRef>
          </c:val>
          <c:extLst>
            <c:ext xmlns:c16="http://schemas.microsoft.com/office/drawing/2014/chart" uri="{C3380CC4-5D6E-409C-BE32-E72D297353CC}">
              <c16:uniqueId val="{00000006-38B8-4F22-BE9F-229F78D04104}"/>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ln>
                  <a:noFill/>
                </a:ln>
                <a:solidFill>
                  <a:schemeClr val="tx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2018/2019 Budgeted </a:t>
            </a:r>
          </a:p>
          <a:p>
            <a:pPr>
              <a:defRPr sz="1100">
                <a:solidFill>
                  <a:schemeClr val="tx1"/>
                </a:solidFill>
              </a:defRPr>
            </a:pPr>
            <a:r>
              <a:rPr lang="en-US" sz="1200" baseline="0">
                <a:solidFill>
                  <a:schemeClr val="tx1"/>
                </a:solidFill>
                <a:latin typeface="Arial" panose="020B0604020202020204" pitchFamily="34" charset="0"/>
                <a:cs typeface="Arial" panose="020B0604020202020204" pitchFamily="34" charset="0"/>
              </a:rPr>
              <a:t>Operating Expenses</a:t>
            </a:r>
          </a:p>
        </c:rich>
      </c:tx>
      <c:layout>
        <c:manualLayout>
          <c:xMode val="edge"/>
          <c:yMode val="edge"/>
          <c:x val="0.22806296278638202"/>
          <c:y val="3.3333190455166972E-2"/>
        </c:manualLayout>
      </c:layout>
      <c:overlay val="0"/>
      <c:spPr>
        <a:noFill/>
        <a:ln>
          <a:noFill/>
        </a:ln>
        <a:effectLst/>
      </c:spPr>
      <c:txPr>
        <a:bodyPr rot="0" spcFirstLastPara="1" vertOverflow="ellipsis" vert="horz" wrap="square" anchor="ctr" anchorCtr="1"/>
        <a:lstStyle/>
        <a:p>
          <a:pPr>
            <a:defRPr sz="1100" b="0" i="0" u="none" strike="noStrike" kern="1200" spc="0" baseline="0">
              <a:ln>
                <a:noFill/>
              </a:ln>
              <a:solidFill>
                <a:schemeClr val="tx1"/>
              </a:solidFill>
              <a:latin typeface="+mn-lt"/>
              <a:ea typeface="+mn-ea"/>
              <a:cs typeface="+mn-cs"/>
            </a:defRPr>
          </a:pPr>
          <a:endParaRPr lang="en-US"/>
        </a:p>
      </c:txPr>
    </c:title>
    <c:autoTitleDeleted val="0"/>
    <c:view3D>
      <c:rotX val="40"/>
      <c:rotY val="12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09394173888486"/>
          <c:y val="0.13399188228472508"/>
          <c:w val="0.68855902211105768"/>
          <c:h val="0.84718316960646733"/>
        </c:manualLayout>
      </c:layout>
      <c:pie3DChart>
        <c:varyColors val="1"/>
        <c:ser>
          <c:idx val="0"/>
          <c:order val="0"/>
          <c:tx>
            <c:strRef>
              <c:f>Sheet1!$B$1</c:f>
              <c:strCache>
                <c:ptCount val="1"/>
                <c:pt idx="0">
                  <c:v>Operating Expenses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A87E-45C2-949B-19A13549AB59}"/>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A87E-45C2-949B-19A13549AB59}"/>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A87E-45C2-949B-19A13549AB59}"/>
              </c:ext>
            </c:extLst>
          </c:dPt>
          <c:dLbls>
            <c:dLbl>
              <c:idx val="2"/>
              <c:layout>
                <c:manualLayout>
                  <c:x val="-1.9554207978818759E-2"/>
                  <c:y val="5.12274476391996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7E-45C2-949B-19A13549AB59}"/>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Salaries and benefits</c:v>
                </c:pt>
                <c:pt idx="1">
                  <c:v>Student financial aid</c:v>
                </c:pt>
                <c:pt idx="2">
                  <c:v>Other</c:v>
                </c:pt>
              </c:strCache>
            </c:strRef>
          </c:cat>
          <c:val>
            <c:numRef>
              <c:f>Sheet1!$B$2:$B$4</c:f>
              <c:numCache>
                <c:formatCode>General</c:formatCode>
                <c:ptCount val="3"/>
                <c:pt idx="0">
                  <c:v>109340</c:v>
                </c:pt>
                <c:pt idx="1">
                  <c:v>10322</c:v>
                </c:pt>
                <c:pt idx="2">
                  <c:v>15694</c:v>
                </c:pt>
              </c:numCache>
            </c:numRef>
          </c:val>
          <c:extLst>
            <c:ext xmlns:c16="http://schemas.microsoft.com/office/drawing/2014/chart" uri="{C3380CC4-5D6E-409C-BE32-E72D297353CC}">
              <c16:uniqueId val="{00000006-A87E-45C2-949B-19A13549AB59}"/>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Total Projected Student WGUs</a:t>
            </a:r>
          </a:p>
        </c:rich>
      </c:tx>
      <c:layout>
        <c:manualLayout>
          <c:xMode val="edge"/>
          <c:yMode val="edge"/>
          <c:x val="0.10902784071422351"/>
          <c:y val="4.0721349621873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74550187878399"/>
          <c:y val="0.34394103878376464"/>
          <c:w val="0.67512187362389009"/>
          <c:h val="0.54367719741838549"/>
        </c:manualLayout>
      </c:layout>
      <c:pie3DChart>
        <c:varyColors val="1"/>
        <c:ser>
          <c:idx val="0"/>
          <c:order val="0"/>
          <c:tx>
            <c:strRef>
              <c:f>Sheet1!$B$1</c:f>
              <c:strCache>
                <c:ptCount val="1"/>
                <c:pt idx="0">
                  <c:v>Total WGUs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F1F-4B25-9E4B-53C3FC3A1A3C}"/>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F1F-4B25-9E4B-53C3FC3A1A3C}"/>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F1F-4B25-9E4B-53C3FC3A1A3C}"/>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F1F-4B25-9E4B-53C3FC3A1A3C}"/>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F1F-4B25-9E4B-53C3FC3A1A3C}"/>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B-1F1F-4B25-9E4B-53C3FC3A1A3C}"/>
              </c:ext>
            </c:extLst>
          </c:dPt>
          <c:dLbls>
            <c:dLbl>
              <c:idx val="0"/>
              <c:layout>
                <c:manualLayout>
                  <c:x val="-6.3577584952657057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1F-4B25-9E4B-53C3FC3A1A3C}"/>
                </c:ext>
              </c:extLst>
            </c:dLbl>
            <c:dLbl>
              <c:idx val="1"/>
              <c:layout>
                <c:manualLayout>
                  <c:x val="-9.0333193138944519E-17"/>
                  <c:y val="1.74522360097657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60057459558133"/>
                      <c:h val="0.19217591256590302"/>
                    </c:manualLayout>
                  </c15:layout>
                </c:ext>
                <c:ext xmlns:c16="http://schemas.microsoft.com/office/drawing/2014/chart" uri="{C3380CC4-5D6E-409C-BE32-E72D297353CC}">
                  <c16:uniqueId val="{00000003-1F1F-4B25-9E4B-53C3FC3A1A3C}"/>
                </c:ext>
              </c:extLst>
            </c:dLbl>
            <c:dLbl>
              <c:idx val="2"/>
              <c:layout>
                <c:manualLayout>
                  <c:x val="-4.2517006802721092E-3"/>
                  <c:y val="4.0721349621873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1F-4B25-9E4B-53C3FC3A1A3C}"/>
                </c:ext>
              </c:extLst>
            </c:dLbl>
            <c:dLbl>
              <c:idx val="3"/>
              <c:layout>
                <c:manualLayout>
                  <c:x val="-6.0501144446350394E-3"/>
                  <c:y val="9.889470622454915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369500652773169"/>
                      <c:h val="0.20962791954670587"/>
                    </c:manualLayout>
                  </c15:layout>
                </c:ext>
                <c:ext xmlns:c16="http://schemas.microsoft.com/office/drawing/2014/chart" uri="{C3380CC4-5D6E-409C-BE32-E72D297353CC}">
                  <c16:uniqueId val="{00000007-1F1F-4B25-9E4B-53C3FC3A1A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1710.25</c:v>
                </c:pt>
                <c:pt idx="1">
                  <c:v>520.21</c:v>
                </c:pt>
                <c:pt idx="2">
                  <c:v>2116.35</c:v>
                </c:pt>
                <c:pt idx="3">
                  <c:v>2646.73</c:v>
                </c:pt>
                <c:pt idx="4">
                  <c:v>7537.81</c:v>
                </c:pt>
                <c:pt idx="5">
                  <c:v>3302.34</c:v>
                </c:pt>
              </c:numCache>
            </c:numRef>
          </c:val>
          <c:extLst>
            <c:ext xmlns:c16="http://schemas.microsoft.com/office/drawing/2014/chart" uri="{C3380CC4-5D6E-409C-BE32-E72D297353CC}">
              <c16:uniqueId val="{0000000C-1F1F-4B25-9E4B-53C3FC3A1A3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Total Projected Student FTEs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Total FTEs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E691-4008-9388-26E06E2E1C58}"/>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E691-4008-9388-26E06E2E1C58}"/>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2-E691-4008-9388-26E06E2E1C58}"/>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4-E691-4008-9388-26E06E2E1C58}"/>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0A4D-4F52-8F59-60543BF1D8CE}"/>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E691-4008-9388-26E06E2E1C58}"/>
              </c:ext>
            </c:extLst>
          </c:dPt>
          <c:dLbls>
            <c:dLbl>
              <c:idx val="0"/>
              <c:layout>
                <c:manualLayout>
                  <c:x val="-3.401360544217695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91-4008-9388-26E06E2E1C58}"/>
                </c:ext>
              </c:extLst>
            </c:dLbl>
            <c:dLbl>
              <c:idx val="1"/>
              <c:dLblPos val="outEnd"/>
              <c:showLegendKey val="0"/>
              <c:showVal val="0"/>
              <c:showCatName val="1"/>
              <c:showSerName val="0"/>
              <c:showPercent val="1"/>
              <c:showBubbleSize val="0"/>
              <c:extLst>
                <c:ext xmlns:c15="http://schemas.microsoft.com/office/drawing/2012/chart" uri="{CE6537A1-D6FC-4f65-9D91-7224C49458BB}">
                  <c15:layout>
                    <c:manualLayout>
                      <c:w val="0.23487566875810953"/>
                      <c:h val="0.19799324822617065"/>
                    </c:manualLayout>
                  </c15:layout>
                </c:ext>
                <c:ext xmlns:c16="http://schemas.microsoft.com/office/drawing/2014/chart" uri="{C3380CC4-5D6E-409C-BE32-E72D297353CC}">
                  <c16:uniqueId val="{00000005-E691-4008-9388-26E06E2E1C58}"/>
                </c:ext>
              </c:extLst>
            </c:dLbl>
            <c:dLbl>
              <c:idx val="2"/>
              <c:layout>
                <c:manualLayout>
                  <c:x val="-4.2517006802721092E-3"/>
                  <c:y val="4.0721349621873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691-4008-9388-26E06E2E1C58}"/>
                </c:ext>
              </c:extLst>
            </c:dLbl>
            <c:dLbl>
              <c:idx val="3"/>
              <c:layout>
                <c:manualLayout>
                  <c:x val="-3.5625041402130783E-3"/>
                  <c:y val="0.101803374054682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67022713657561"/>
                      <c:h val="0.21544525520697344"/>
                    </c:manualLayout>
                  </c15:layout>
                </c:ext>
                <c:ext xmlns:c16="http://schemas.microsoft.com/office/drawing/2014/chart" uri="{C3380CC4-5D6E-409C-BE32-E72D297353CC}">
                  <c16:uniqueId val="{00000004-E691-4008-9388-26E06E2E1C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1032.9000000000001</c:v>
                </c:pt>
                <c:pt idx="1">
                  <c:v>295.39999999999998</c:v>
                </c:pt>
                <c:pt idx="2">
                  <c:v>770.97</c:v>
                </c:pt>
                <c:pt idx="3">
                  <c:v>1498.5</c:v>
                </c:pt>
                <c:pt idx="4">
                  <c:v>3667.7</c:v>
                </c:pt>
                <c:pt idx="5">
                  <c:v>1988.7</c:v>
                </c:pt>
              </c:numCache>
            </c:numRef>
          </c:val>
          <c:extLst>
            <c:ext xmlns:c16="http://schemas.microsoft.com/office/drawing/2014/chart" uri="{C3380CC4-5D6E-409C-BE32-E72D297353CC}">
              <c16:uniqueId val="{00000000-E691-4008-9388-26E06E2E1C58}"/>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Total Projected Staff FTEs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Total FTEs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5D2-4403-8445-4143E285FBC2}"/>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5D2-4403-8445-4143E285FBC2}"/>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5D2-4403-8445-4143E285FBC2}"/>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5D2-4403-8445-4143E285FBC2}"/>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5D2-4403-8445-4143E285FBC2}"/>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B-15D2-4403-8445-4143E285FBC2}"/>
              </c:ext>
            </c:extLst>
          </c:dPt>
          <c:dLbls>
            <c:dLbl>
              <c:idx val="0"/>
              <c:layout>
                <c:manualLayout>
                  <c:x val="-3.401360544217695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5D2-4403-8445-4143E285FBC2}"/>
                </c:ext>
              </c:extLst>
            </c:dLbl>
            <c:dLbl>
              <c:idx val="1"/>
              <c:layout>
                <c:manualLayout>
                  <c:x val="-9.1164204612375882E-17"/>
                  <c:y val="3.490424299056853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381402287419195"/>
                      <c:h val="0.20381058388643825"/>
                    </c:manualLayout>
                  </c15:layout>
                </c:ext>
                <c:ext xmlns:c16="http://schemas.microsoft.com/office/drawing/2014/chart" uri="{C3380CC4-5D6E-409C-BE32-E72D297353CC}">
                  <c16:uniqueId val="{00000003-15D2-4403-8445-4143E285FBC2}"/>
                </c:ext>
              </c:extLst>
            </c:dLbl>
            <c:dLbl>
              <c:idx val="2"/>
              <c:layout>
                <c:manualLayout>
                  <c:x val="-4.2517006802721092E-3"/>
                  <c:y val="4.0721349621873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5D2-4403-8445-4143E285FBC2}"/>
                </c:ext>
              </c:extLst>
            </c:dLbl>
            <c:dLbl>
              <c:idx val="3"/>
              <c:layout>
                <c:manualLayout>
                  <c:x val="-3.5625041402130783E-3"/>
                  <c:y val="0.101803374054682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67022713657561"/>
                      <c:h val="0.21544525520697344"/>
                    </c:manualLayout>
                  </c15:layout>
                </c:ext>
                <c:ext xmlns:c16="http://schemas.microsoft.com/office/drawing/2014/chart" uri="{C3380CC4-5D6E-409C-BE32-E72D297353CC}">
                  <c16:uniqueId val="{00000007-15D2-4403-8445-4143E285FB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33.89</c:v>
                </c:pt>
                <c:pt idx="1">
                  <c:v>19.84</c:v>
                </c:pt>
                <c:pt idx="2">
                  <c:v>31.28</c:v>
                </c:pt>
                <c:pt idx="3">
                  <c:v>66.41</c:v>
                </c:pt>
                <c:pt idx="4">
                  <c:v>129.99</c:v>
                </c:pt>
                <c:pt idx="5">
                  <c:v>78.55</c:v>
                </c:pt>
              </c:numCache>
            </c:numRef>
          </c:val>
          <c:extLst>
            <c:ext xmlns:c16="http://schemas.microsoft.com/office/drawing/2014/chart" uri="{C3380CC4-5D6E-409C-BE32-E72D297353CC}">
              <c16:uniqueId val="{0000000C-15D2-4403-8445-4143E285FBC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Total Projected Provincial Grant Funding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17175612869374"/>
          <c:y val="0.34942170186841826"/>
          <c:w val="0.73576588605191129"/>
          <c:h val="0.53739859742663054"/>
        </c:manualLayout>
      </c:layout>
      <c:pie3DChart>
        <c:varyColors val="1"/>
        <c:ser>
          <c:idx val="0"/>
          <c:order val="0"/>
          <c:tx>
            <c:strRef>
              <c:f>Sheet1!$B$1</c:f>
              <c:strCache>
                <c:ptCount val="1"/>
                <c:pt idx="0">
                  <c:v>Total Provincial Grant Funding</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BA3-433B-AFA9-0EB53E39CE0F}"/>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BA3-433B-AFA9-0EB53E39CE0F}"/>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BA3-433B-AFA9-0EB53E39CE0F}"/>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BA3-433B-AFA9-0EB53E39CE0F}"/>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BA3-433B-AFA9-0EB53E39CE0F}"/>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B-1BA3-433B-AFA9-0EB53E39CE0F}"/>
              </c:ext>
            </c:extLst>
          </c:dPt>
          <c:dLbls>
            <c:dLbl>
              <c:idx val="0"/>
              <c:layout>
                <c:manualLayout>
                  <c:x val="-6.3849614521705428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A3-433B-AFA9-0EB53E39CE0F}"/>
                </c:ext>
              </c:extLst>
            </c:dLbl>
            <c:dLbl>
              <c:idx val="1"/>
              <c:layout>
                <c:manualLayout>
                  <c:x val="-9.1164204612375882E-17"/>
                  <c:y val="3.490424299056853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381402287419195"/>
                      <c:h val="0.20381058388643825"/>
                    </c:manualLayout>
                  </c15:layout>
                </c:ext>
                <c:ext xmlns:c16="http://schemas.microsoft.com/office/drawing/2014/chart" uri="{C3380CC4-5D6E-409C-BE32-E72D297353CC}">
                  <c16:uniqueId val="{00000003-1BA3-433B-AFA9-0EB53E39CE0F}"/>
                </c:ext>
              </c:extLst>
            </c:dLbl>
            <c:dLbl>
              <c:idx val="2"/>
              <c:layout>
                <c:manualLayout>
                  <c:x val="-4.2517006802721092E-3"/>
                  <c:y val="4.07213496218732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A3-433B-AFA9-0EB53E39CE0F}"/>
                </c:ext>
              </c:extLst>
            </c:dLbl>
            <c:dLbl>
              <c:idx val="3"/>
              <c:layout>
                <c:manualLayout>
                  <c:x val="-3.5625041402130783E-3"/>
                  <c:y val="0.101803374054682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67022713657561"/>
                      <c:h val="0.21544525520697344"/>
                    </c:manualLayout>
                  </c15:layout>
                </c:ext>
                <c:ext xmlns:c16="http://schemas.microsoft.com/office/drawing/2014/chart" uri="{C3380CC4-5D6E-409C-BE32-E72D297353CC}">
                  <c16:uniqueId val="{00000007-1BA3-433B-AFA9-0EB53E39CE0F}"/>
                </c:ext>
              </c:extLst>
            </c:dLbl>
            <c:dLbl>
              <c:idx val="5"/>
              <c:layout>
                <c:manualLayout>
                  <c:x val="-9.9453008453505715E-3"/>
                  <c:y val="3.49040139616055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BA3-433B-AFA9-0EB53E39CE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5543543</c:v>
                </c:pt>
                <c:pt idx="1">
                  <c:v>1686186</c:v>
                </c:pt>
                <c:pt idx="2">
                  <c:v>6859851</c:v>
                </c:pt>
                <c:pt idx="3">
                  <c:v>8578995</c:v>
                </c:pt>
                <c:pt idx="4">
                  <c:v>24432741</c:v>
                </c:pt>
                <c:pt idx="5">
                  <c:v>10704082</c:v>
                </c:pt>
              </c:numCache>
            </c:numRef>
          </c:val>
          <c:extLst>
            <c:ext xmlns:c16="http://schemas.microsoft.com/office/drawing/2014/chart" uri="{C3380CC4-5D6E-409C-BE32-E72D297353CC}">
              <c16:uniqueId val="{0000000C-1BA3-433B-AFA9-0EB53E39CE0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Total Projected Tuition</a:t>
            </a:r>
            <a:r>
              <a:rPr lang="en-US" sz="1200" baseline="0">
                <a:solidFill>
                  <a:sysClr val="windowText" lastClr="000000"/>
                </a:solidFill>
                <a:latin typeface="Arial" panose="020B0604020202020204" pitchFamily="34" charset="0"/>
                <a:cs typeface="Arial" panose="020B0604020202020204" pitchFamily="34" charset="0"/>
              </a:rPr>
              <a:t> Fees</a:t>
            </a:r>
            <a:endParaRPr lang="en-US"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17175612869374"/>
          <c:y val="0.34942170186841826"/>
          <c:w val="0.73576588605191129"/>
          <c:h val="0.53739859742663054"/>
        </c:manualLayout>
      </c:layout>
      <c:pie3DChart>
        <c:varyColors val="1"/>
        <c:ser>
          <c:idx val="0"/>
          <c:order val="0"/>
          <c:tx>
            <c:strRef>
              <c:f>Sheet1!$B$1</c:f>
              <c:strCache>
                <c:ptCount val="1"/>
                <c:pt idx="0">
                  <c:v>Total Tuition Fees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553C-4F51-8709-B619DA2A9790}"/>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553C-4F51-8709-B619DA2A9790}"/>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553C-4F51-8709-B619DA2A9790}"/>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553C-4F51-8709-B619DA2A9790}"/>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553C-4F51-8709-B619DA2A9790}"/>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B-553C-4F51-8709-B619DA2A9790}"/>
              </c:ext>
            </c:extLst>
          </c:dPt>
          <c:dLbls>
            <c:dLbl>
              <c:idx val="0"/>
              <c:layout>
                <c:manualLayout>
                  <c:x val="-6.3849614521705428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3C-4F51-8709-B619DA2A9790}"/>
                </c:ext>
              </c:extLst>
            </c:dLbl>
            <c:dLbl>
              <c:idx val="1"/>
              <c:layout>
                <c:manualLayout>
                  <c:x val="-9.1164204612375882E-17"/>
                  <c:y val="3.490424299056853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381402287419195"/>
                      <c:h val="0.20381058388643825"/>
                    </c:manualLayout>
                  </c15:layout>
                </c:ext>
                <c:ext xmlns:c16="http://schemas.microsoft.com/office/drawing/2014/chart" uri="{C3380CC4-5D6E-409C-BE32-E72D297353CC}">
                  <c16:uniqueId val="{00000003-553C-4F51-8709-B619DA2A9790}"/>
                </c:ext>
              </c:extLst>
            </c:dLbl>
            <c:dLbl>
              <c:idx val="2"/>
              <c:layout>
                <c:manualLayout>
                  <c:x val="2.5584090651025657E-2"/>
                  <c:y val="4.65386852821407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53C-4F51-8709-B619DA2A9790}"/>
                </c:ext>
              </c:extLst>
            </c:dLbl>
            <c:dLbl>
              <c:idx val="3"/>
              <c:layout>
                <c:manualLayout>
                  <c:x val="-3.5625041402130783E-3"/>
                  <c:y val="0.101803374054682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67022713657561"/>
                      <c:h val="0.21544525520697344"/>
                    </c:manualLayout>
                  </c15:layout>
                </c:ext>
                <c:ext xmlns:c16="http://schemas.microsoft.com/office/drawing/2014/chart" uri="{C3380CC4-5D6E-409C-BE32-E72D297353CC}">
                  <c16:uniqueId val="{00000007-553C-4F51-8709-B619DA2A9790}"/>
                </c:ext>
              </c:extLst>
            </c:dLbl>
            <c:dLbl>
              <c:idx val="5"/>
              <c:layout>
                <c:manualLayout>
                  <c:x val="-9.9453008453505715E-3"/>
                  <c:y val="3.49040139616055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53C-4F51-8709-B619DA2A9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7517498</c:v>
                </c:pt>
                <c:pt idx="1">
                  <c:v>2066467</c:v>
                </c:pt>
                <c:pt idx="2">
                  <c:v>5425830</c:v>
                </c:pt>
                <c:pt idx="3">
                  <c:v>11560041</c:v>
                </c:pt>
                <c:pt idx="4">
                  <c:v>29836865</c:v>
                </c:pt>
                <c:pt idx="5">
                  <c:v>16460424</c:v>
                </c:pt>
              </c:numCache>
            </c:numRef>
          </c:val>
          <c:extLst>
            <c:ext xmlns:c16="http://schemas.microsoft.com/office/drawing/2014/chart" uri="{C3380CC4-5D6E-409C-BE32-E72D297353CC}">
              <c16:uniqueId val="{0000000C-553C-4F51-8709-B619DA2A9790}"/>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2018/2019 University Fund Contributions</a:t>
            </a:r>
            <a:r>
              <a:rPr lang="en-US" sz="1200" baseline="0">
                <a:solidFill>
                  <a:sysClr val="windowText" lastClr="000000"/>
                </a:solidFill>
                <a:latin typeface="Arial" panose="020B0604020202020204" pitchFamily="34" charset="0"/>
                <a:cs typeface="Arial" panose="020B0604020202020204" pitchFamily="34" charset="0"/>
              </a:rPr>
              <a:t> from Divisions</a:t>
            </a:r>
            <a:endParaRPr lang="en-US" sz="12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0365470228702765"/>
          <c:y val="2.48632521133764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4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217175612869374"/>
          <c:y val="0.34942170186841826"/>
          <c:w val="0.73576588605191129"/>
          <c:h val="0.53739859742663054"/>
        </c:manualLayout>
      </c:layout>
      <c:pie3DChart>
        <c:varyColors val="1"/>
        <c:ser>
          <c:idx val="0"/>
          <c:order val="0"/>
          <c:tx>
            <c:strRef>
              <c:f>Sheet1!$B$1</c:f>
              <c:strCache>
                <c:ptCount val="1"/>
                <c:pt idx="0">
                  <c:v>UF Contributions</c:v>
                </c:pt>
              </c:strCache>
            </c:strRef>
          </c:tx>
          <c:spPr>
            <a:scene3d>
              <a:camera prst="orthographicFront"/>
              <a:lightRig rig="threePt" dir="t"/>
            </a:scene3d>
            <a:sp3d>
              <a:bevelT/>
              <a:bevelB/>
              <a:contourClr>
                <a:srgbClr val="000000"/>
              </a:contourClr>
            </a:sp3d>
          </c:spPr>
          <c:explosion val="8"/>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FAD0-455B-AD44-E8A97756DCB3}"/>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FAD0-455B-AD44-E8A97756DCB3}"/>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FAD0-455B-AD44-E8A97756DCB3}"/>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FAD0-455B-AD44-E8A97756DCB3}"/>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FAD0-455B-AD44-E8A97756DCB3}"/>
              </c:ext>
            </c:extLst>
          </c:dPt>
          <c:dPt>
            <c:idx val="5"/>
            <c:bubble3D val="0"/>
            <c:spPr>
              <a:solidFill>
                <a:schemeClr val="accent6"/>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B-FAD0-455B-AD44-E8A97756DCB3}"/>
              </c:ext>
            </c:extLst>
          </c:dPt>
          <c:dLbls>
            <c:dLbl>
              <c:idx val="0"/>
              <c:layout>
                <c:manualLayout>
                  <c:x val="-6.3849614521705428E-2"/>
                  <c:y val="5.8173356602675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AD0-455B-AD44-E8A97756DCB3}"/>
                </c:ext>
              </c:extLst>
            </c:dLbl>
            <c:dLbl>
              <c:idx val="1"/>
              <c:layout>
                <c:manualLayout>
                  <c:x val="-9.1164204612375882E-17"/>
                  <c:y val="3.490424299056853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381402287419195"/>
                      <c:h val="0.20381058388643825"/>
                    </c:manualLayout>
                  </c15:layout>
                </c:ext>
                <c:ext xmlns:c16="http://schemas.microsoft.com/office/drawing/2014/chart" uri="{C3380CC4-5D6E-409C-BE32-E72D297353CC}">
                  <c16:uniqueId val="{00000003-FAD0-455B-AD44-E8A97756DCB3}"/>
                </c:ext>
              </c:extLst>
            </c:dLbl>
            <c:dLbl>
              <c:idx val="2"/>
              <c:layout>
                <c:manualLayout>
                  <c:x val="2.5584090651025657E-2"/>
                  <c:y val="4.65386852821407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AD0-455B-AD44-E8A97756DCB3}"/>
                </c:ext>
              </c:extLst>
            </c:dLbl>
            <c:dLbl>
              <c:idx val="3"/>
              <c:layout>
                <c:manualLayout>
                  <c:x val="-3.5625041402130783E-3"/>
                  <c:y val="0.1018033740546829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67022713657561"/>
                      <c:h val="0.21544525520697344"/>
                    </c:manualLayout>
                  </c15:layout>
                </c:ext>
                <c:ext xmlns:c16="http://schemas.microsoft.com/office/drawing/2014/chart" uri="{C3380CC4-5D6E-409C-BE32-E72D297353CC}">
                  <c16:uniqueId val="{00000007-FAD0-455B-AD44-E8A97756DCB3}"/>
                </c:ext>
              </c:extLst>
            </c:dLbl>
            <c:dLbl>
              <c:idx val="5"/>
              <c:layout>
                <c:manualLayout>
                  <c:x val="-9.9453008453505715E-3"/>
                  <c:y val="3.49040139616055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AD0-455B-AD44-E8A97756D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Durham</c:v>
                </c:pt>
                <c:pt idx="1">
                  <c:v>Education</c:v>
                </c:pt>
                <c:pt idx="2">
                  <c:v>Nursing</c:v>
                </c:pt>
                <c:pt idx="3">
                  <c:v>Humanities</c:v>
                </c:pt>
                <c:pt idx="4">
                  <c:v>Science</c:v>
                </c:pt>
                <c:pt idx="5">
                  <c:v>Social Science</c:v>
                </c:pt>
              </c:strCache>
            </c:strRef>
          </c:cat>
          <c:val>
            <c:numRef>
              <c:f>Sheet1!$B$2:$B$7</c:f>
              <c:numCache>
                <c:formatCode>General</c:formatCode>
                <c:ptCount val="6"/>
                <c:pt idx="0">
                  <c:v>688695</c:v>
                </c:pt>
                <c:pt idx="1">
                  <c:v>204635</c:v>
                </c:pt>
                <c:pt idx="2">
                  <c:v>624759</c:v>
                </c:pt>
                <c:pt idx="3">
                  <c:v>1027195</c:v>
                </c:pt>
                <c:pt idx="4">
                  <c:v>2835062</c:v>
                </c:pt>
                <c:pt idx="5">
                  <c:v>1396995</c:v>
                </c:pt>
              </c:numCache>
            </c:numRef>
          </c:val>
          <c:extLst>
            <c:ext xmlns:c16="http://schemas.microsoft.com/office/drawing/2014/chart" uri="{C3380CC4-5D6E-409C-BE32-E72D297353CC}">
              <c16:uniqueId val="{0000000C-FAD0-455B-AD44-E8A97756DCB3}"/>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7270-A336-4943-B202-1FBA4A74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5762</Words>
  <Characters>32844</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Turk</dc:creator>
  <cp:keywords/>
  <dc:description/>
  <cp:lastModifiedBy>Jennifer Arcand</cp:lastModifiedBy>
  <cp:revision>2</cp:revision>
  <dcterms:created xsi:type="dcterms:W3CDTF">2021-11-18T18:25:00Z</dcterms:created>
  <dcterms:modified xsi:type="dcterms:W3CDTF">2021-11-18T18:25:00Z</dcterms:modified>
</cp:coreProperties>
</file>